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74" w:rsidRDefault="005B20D0">
      <w:pPr>
        <w:autoSpaceDE w:val="0"/>
        <w:autoSpaceDN w:val="0"/>
        <w:adjustRightInd w:val="0"/>
        <w:spacing w:before="1200" w:after="0"/>
        <w:jc w:val="center"/>
        <w:rPr>
          <w:rFonts w:eastAsiaTheme="minorEastAsia"/>
          <w:kern w:val="0"/>
          <w:sz w:val="24"/>
          <w:szCs w:val="24"/>
        </w:rPr>
      </w:pPr>
      <w:r>
        <w:rPr>
          <w:rFonts w:eastAsiaTheme="minorEastAsia"/>
          <w:noProof/>
          <w:kern w:val="0"/>
          <w:sz w:val="24"/>
          <w:szCs w:val="24"/>
        </w:rPr>
        <w:drawing>
          <wp:inline distT="0" distB="0" distL="0" distR="0">
            <wp:extent cx="1524000" cy="1200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p>
    <w:p w:rsidR="00931774" w:rsidRDefault="00931774">
      <w:pPr>
        <w:spacing w:before="200" w:after="200"/>
        <w:jc w:val="center"/>
        <w:rPr>
          <w:b/>
          <w:bCs/>
          <w:sz w:val="36"/>
          <w:szCs w:val="36"/>
        </w:rPr>
      </w:pPr>
      <w:r>
        <w:rPr>
          <w:rFonts w:hint="eastAsia"/>
          <w:b/>
          <w:bCs/>
          <w:sz w:val="36"/>
          <w:szCs w:val="36"/>
        </w:rPr>
        <w:t>威海广泰空港设备股份有限公司</w:t>
      </w:r>
    </w:p>
    <w:p w:rsidR="00931774" w:rsidRDefault="00931774">
      <w:pPr>
        <w:spacing w:before="400" w:after="0"/>
        <w:jc w:val="center"/>
        <w:rPr>
          <w:b/>
          <w:bCs/>
          <w:sz w:val="32"/>
          <w:szCs w:val="32"/>
        </w:rPr>
      </w:pPr>
      <w:r>
        <w:rPr>
          <w:b/>
          <w:bCs/>
          <w:sz w:val="32"/>
          <w:szCs w:val="32"/>
        </w:rPr>
        <w:t>2015</w:t>
      </w:r>
      <w:r>
        <w:rPr>
          <w:rFonts w:hint="eastAsia"/>
          <w:b/>
          <w:bCs/>
          <w:sz w:val="32"/>
          <w:szCs w:val="32"/>
        </w:rPr>
        <w:t>年第一季度报告</w:t>
      </w:r>
    </w:p>
    <w:p w:rsidR="00931774" w:rsidRDefault="00931774">
      <w:pPr>
        <w:spacing w:before="6000" w:after="0"/>
        <w:jc w:val="center"/>
        <w:rPr>
          <w:b/>
          <w:bCs/>
          <w:sz w:val="32"/>
          <w:szCs w:val="32"/>
        </w:rPr>
      </w:pPr>
      <w:r>
        <w:rPr>
          <w:b/>
          <w:bCs/>
          <w:sz w:val="32"/>
          <w:szCs w:val="32"/>
        </w:rPr>
        <w:t>2015</w:t>
      </w:r>
      <w:r>
        <w:rPr>
          <w:rFonts w:hint="eastAsia"/>
          <w:b/>
          <w:bCs/>
          <w:sz w:val="32"/>
          <w:szCs w:val="32"/>
        </w:rPr>
        <w:t>年</w:t>
      </w:r>
      <w:r>
        <w:rPr>
          <w:b/>
          <w:bCs/>
          <w:sz w:val="32"/>
          <w:szCs w:val="32"/>
        </w:rPr>
        <w:t>04</w:t>
      </w:r>
      <w:r>
        <w:rPr>
          <w:rFonts w:hint="eastAsia"/>
          <w:b/>
          <w:bCs/>
          <w:sz w:val="32"/>
          <w:szCs w:val="32"/>
        </w:rPr>
        <w:t>月</w:t>
      </w:r>
    </w:p>
    <w:p w:rsidR="00931774" w:rsidRDefault="00931774">
      <w:pPr>
        <w:spacing w:before="6000" w:after="0"/>
        <w:jc w:val="center"/>
        <w:rPr>
          <w:b/>
          <w:bCs/>
          <w:sz w:val="32"/>
          <w:szCs w:val="32"/>
        </w:rPr>
        <w:sectPr w:rsidR="00931774">
          <w:headerReference w:type="default" r:id="rId8"/>
          <w:footerReference w:type="default" r:id="rId9"/>
          <w:pgSz w:w="11906" w:h="16838"/>
          <w:pgMar w:top="1440" w:right="1134" w:bottom="1440" w:left="1134" w:header="720" w:footer="720" w:gutter="0"/>
          <w:cols w:space="720"/>
          <w:noEndnote/>
        </w:sectPr>
      </w:pPr>
    </w:p>
    <w:p w:rsidR="00931774" w:rsidRDefault="00931774">
      <w:pPr>
        <w:pStyle w:val="a3"/>
        <w:outlineLvl w:val="0"/>
      </w:pPr>
      <w:bookmarkStart w:id="0" w:name="_Toc300000084"/>
      <w:r>
        <w:rPr>
          <w:rFonts w:hint="eastAsia"/>
        </w:rPr>
        <w:lastRenderedPageBreak/>
        <w:t>第一节</w:t>
      </w:r>
      <w:r>
        <w:t xml:space="preserve"> </w:t>
      </w:r>
      <w:r>
        <w:rPr>
          <w:rFonts w:hint="eastAsia"/>
        </w:rPr>
        <w:t>重要提示</w:t>
      </w:r>
      <w:bookmarkEnd w:id="0"/>
    </w:p>
    <w:p w:rsidR="00931774" w:rsidRDefault="00931774" w:rsidP="00F3005F">
      <w:pPr>
        <w:spacing w:before="100" w:after="100"/>
        <w:ind w:firstLineChars="200" w:firstLine="562"/>
        <w:rPr>
          <w:b/>
          <w:bCs/>
          <w:sz w:val="28"/>
          <w:szCs w:val="28"/>
        </w:rPr>
      </w:pPr>
      <w:r>
        <w:rPr>
          <w:rFonts w:hint="eastAsia"/>
          <w:b/>
          <w:bCs/>
          <w:sz w:val="28"/>
          <w:szCs w:val="28"/>
        </w:rPr>
        <w:t>公司董事会、监事会及董事、监事、高级管理人员保证季度报告内容的真实、准确、完整，不存在虚假记载、误导性陈述或者重大遗漏，并承担个别和连带的法律责任。</w:t>
      </w:r>
    </w:p>
    <w:p w:rsidR="00931774" w:rsidRDefault="00931774" w:rsidP="00F3005F">
      <w:pPr>
        <w:spacing w:before="100" w:after="100"/>
        <w:ind w:firstLineChars="200" w:firstLine="562"/>
        <w:rPr>
          <w:b/>
          <w:bCs/>
          <w:sz w:val="28"/>
          <w:szCs w:val="28"/>
        </w:rPr>
      </w:pPr>
      <w:r>
        <w:rPr>
          <w:rFonts w:hint="eastAsia"/>
          <w:b/>
          <w:bCs/>
          <w:sz w:val="28"/>
          <w:szCs w:val="28"/>
        </w:rPr>
        <w:t>除下列董事外，其他董事亲自出席了审议本次季报的董事会会议</w:t>
      </w:r>
    </w:p>
    <w:tbl>
      <w:tblPr>
        <w:tblW w:w="0" w:type="auto"/>
        <w:tblInd w:w="28" w:type="dxa"/>
        <w:tblLayout w:type="fixed"/>
        <w:tblCellMar>
          <w:left w:w="28" w:type="dxa"/>
          <w:right w:w="28" w:type="dxa"/>
        </w:tblCellMar>
        <w:tblLook w:val="0000" w:firstRow="0" w:lastRow="0" w:firstColumn="0" w:lastColumn="0" w:noHBand="0" w:noVBand="0"/>
      </w:tblPr>
      <w:tblGrid>
        <w:gridCol w:w="2357"/>
        <w:gridCol w:w="2357"/>
        <w:gridCol w:w="2357"/>
        <w:gridCol w:w="2498"/>
      </w:tblGrid>
      <w:tr w:rsidR="00931774">
        <w:tc>
          <w:tcPr>
            <w:tcW w:w="235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未亲自出席董事姓名</w:t>
            </w:r>
          </w:p>
        </w:tc>
        <w:tc>
          <w:tcPr>
            <w:tcW w:w="235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未亲自出席董事职务</w:t>
            </w:r>
          </w:p>
        </w:tc>
        <w:tc>
          <w:tcPr>
            <w:tcW w:w="235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未亲自出席会议原因</w:t>
            </w:r>
          </w:p>
        </w:tc>
        <w:tc>
          <w:tcPr>
            <w:tcW w:w="2498"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被委托人姓名</w:t>
            </w:r>
          </w:p>
        </w:tc>
      </w:tr>
      <w:tr w:rsidR="00931774">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孟祥凯</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独立董事</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工作原因</w:t>
            </w:r>
          </w:p>
        </w:tc>
        <w:tc>
          <w:tcPr>
            <w:tcW w:w="249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姚焕然</w:t>
            </w:r>
          </w:p>
        </w:tc>
      </w:tr>
      <w:tr w:rsidR="00931774">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卞尔昌</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董事</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工作原因</w:t>
            </w:r>
          </w:p>
        </w:tc>
        <w:tc>
          <w:tcPr>
            <w:tcW w:w="249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仝允桓</w:t>
            </w:r>
          </w:p>
        </w:tc>
      </w:tr>
    </w:tbl>
    <w:p w:rsidR="00931774" w:rsidRDefault="00931774" w:rsidP="00F3005F">
      <w:pPr>
        <w:spacing w:before="100" w:after="100"/>
        <w:ind w:firstLineChars="200" w:firstLine="562"/>
        <w:rPr>
          <w:b/>
          <w:bCs/>
          <w:sz w:val="28"/>
          <w:szCs w:val="28"/>
        </w:rPr>
      </w:pPr>
      <w:r>
        <w:rPr>
          <w:rFonts w:hint="eastAsia"/>
          <w:b/>
          <w:bCs/>
          <w:sz w:val="28"/>
          <w:szCs w:val="28"/>
        </w:rPr>
        <w:t>公司负责人李光太、主管会计工作负责人乔志东及会计机构负责人</w:t>
      </w:r>
      <w:r>
        <w:rPr>
          <w:b/>
          <w:bCs/>
          <w:sz w:val="28"/>
          <w:szCs w:val="28"/>
        </w:rPr>
        <w:t>(</w:t>
      </w:r>
      <w:r>
        <w:rPr>
          <w:rFonts w:hint="eastAsia"/>
          <w:b/>
          <w:bCs/>
          <w:sz w:val="28"/>
          <w:szCs w:val="28"/>
        </w:rPr>
        <w:t>会计主管人员</w:t>
      </w:r>
      <w:r>
        <w:rPr>
          <w:b/>
          <w:bCs/>
          <w:sz w:val="28"/>
          <w:szCs w:val="28"/>
        </w:rPr>
        <w:t>)</w:t>
      </w:r>
      <w:r>
        <w:rPr>
          <w:rFonts w:hint="eastAsia"/>
          <w:b/>
          <w:bCs/>
          <w:sz w:val="28"/>
          <w:szCs w:val="28"/>
        </w:rPr>
        <w:t>乔志东声明：保证季度报告中财务报表的真实、准确、完整。</w:t>
      </w:r>
    </w:p>
    <w:p w:rsidR="00931774" w:rsidRDefault="00931774" w:rsidP="00F3005F">
      <w:pPr>
        <w:spacing w:before="100" w:after="100"/>
        <w:ind w:firstLineChars="200" w:firstLine="562"/>
        <w:rPr>
          <w:b/>
          <w:bCs/>
          <w:sz w:val="28"/>
          <w:szCs w:val="28"/>
        </w:rPr>
        <w:sectPr w:rsidR="00931774">
          <w:pgSz w:w="11906" w:h="16838"/>
          <w:pgMar w:top="1440" w:right="1134" w:bottom="1440" w:left="1134" w:header="851" w:footer="992" w:gutter="0"/>
          <w:cols w:space="425"/>
          <w:docGrid w:type="lines" w:linePitch="312"/>
        </w:sectPr>
      </w:pPr>
    </w:p>
    <w:p w:rsidR="00931774" w:rsidRDefault="00931774">
      <w:pPr>
        <w:pStyle w:val="a3"/>
        <w:outlineLvl w:val="0"/>
      </w:pPr>
      <w:bookmarkStart w:id="1" w:name="_Toc300000085"/>
      <w:r>
        <w:rPr>
          <w:rFonts w:hint="eastAsia"/>
        </w:rPr>
        <w:lastRenderedPageBreak/>
        <w:t>第二节</w:t>
      </w:r>
      <w:r>
        <w:t xml:space="preserve"> </w:t>
      </w:r>
      <w:r>
        <w:rPr>
          <w:rFonts w:hint="eastAsia"/>
        </w:rPr>
        <w:t>主要财务数据及股东变化</w:t>
      </w:r>
      <w:bookmarkEnd w:id="1"/>
    </w:p>
    <w:p w:rsidR="00931774" w:rsidRDefault="00931774">
      <w:pPr>
        <w:pStyle w:val="Chapter"/>
        <w:outlineLvl w:val="1"/>
      </w:pPr>
      <w:r>
        <w:rPr>
          <w:rFonts w:hint="eastAsia"/>
        </w:rPr>
        <w:t>一、主要会计数据和财务指标</w:t>
      </w:r>
    </w:p>
    <w:p w:rsidR="00931774" w:rsidRDefault="00931774">
      <w:pPr>
        <w:jc w:val="left"/>
      </w:pPr>
      <w:r>
        <w:rPr>
          <w:rFonts w:hint="eastAsia"/>
        </w:rPr>
        <w:t>公司是否因会计政策变更及会计差错更正等追溯调整或重述以前年度会计数据</w:t>
      </w:r>
    </w:p>
    <w:p w:rsidR="00931774" w:rsidRDefault="00931774">
      <w:pPr>
        <w:jc w:val="left"/>
      </w:pPr>
      <w:r>
        <w:t xml:space="preserve">□ </w:t>
      </w:r>
      <w:r>
        <w:rPr>
          <w:rFonts w:hint="eastAsia"/>
        </w:rPr>
        <w:t>是</w:t>
      </w:r>
      <w:r>
        <w:t xml:space="preserve"> √ </w:t>
      </w:r>
      <w:r>
        <w:rPr>
          <w:rFonts w:hint="eastAsia"/>
        </w:rPr>
        <w:t>否</w:t>
      </w:r>
      <w: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200"/>
        <w:gridCol w:w="2123"/>
        <w:gridCol w:w="2123"/>
        <w:gridCol w:w="2123"/>
      </w:tblGrid>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本报告期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上年同期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本报告期比上年同期增减</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营业收入（元）</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248,208,370.69</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213,975,571.70</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16.00%</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归属于上市公司股东的净利润（元）</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25,146,523.43</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21,646,480.77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16.17%</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归属于上市公司股东的扣除非经常性损益的净利润（元）</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23,528,272.13</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19,426,024.20</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21.12%</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经营活动产生的现金流量净额（元）</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19,721,002.43</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-35,396,548.22</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155.71%</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基本每股收益（元</w:t>
            </w:r>
            <w:r>
              <w:t>/</w:t>
            </w:r>
            <w:r>
              <w:rPr>
                <w:rFonts w:hint="eastAsia"/>
              </w:rPr>
              <w:t>股）</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0.08</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0.07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14.29%</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稀释每股收益（元</w:t>
            </w:r>
            <w:r>
              <w:t>/</w:t>
            </w:r>
            <w:r>
              <w:rPr>
                <w:rFonts w:hint="eastAsia"/>
              </w:rPr>
              <w:t>股）</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0.08</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0.07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14.29%</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加权平均净资产收益率</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1.99%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1.84%</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0.15%</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本报告期末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上年度末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本报告期末比上年度末增减</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总资产（元）</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2,506,520,958.83</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2,505,772,095.30</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0.03%</w:t>
            </w:r>
          </w:p>
        </w:tc>
      </w:tr>
      <w:tr w:rsidR="00931774">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归属于上市公司股东的净资产（元）</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1,279,245,233.32</w:t>
            </w:r>
          </w:p>
        </w:tc>
        <w:tc>
          <w:tcPr>
            <w:tcW w:w="2123" w:type="dxa"/>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1,254,098,709.89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2.01%</w:t>
            </w:r>
          </w:p>
        </w:tc>
      </w:tr>
    </w:tbl>
    <w:p w:rsidR="00931774" w:rsidRDefault="00931774">
      <w:pPr>
        <w:jc w:val="left"/>
      </w:pPr>
      <w:r>
        <w:rPr>
          <w:rFonts w:hint="eastAsia"/>
        </w:rPr>
        <w:t>非经常性损益项目和金额</w:t>
      </w:r>
    </w:p>
    <w:p w:rsidR="00931774" w:rsidRDefault="00931774">
      <w:pPr>
        <w:jc w:val="left"/>
      </w:pPr>
      <w:r>
        <w:t xml:space="preserve">√ </w:t>
      </w:r>
      <w:r>
        <w:rPr>
          <w:rFonts w:hint="eastAsia"/>
        </w:rPr>
        <w:t>适用</w:t>
      </w:r>
      <w:r>
        <w:t xml:space="preserve"> □ </w:t>
      </w:r>
      <w:r>
        <w:rPr>
          <w:rFonts w:hint="eastAsia"/>
        </w:rPr>
        <w:t>不适用</w:t>
      </w:r>
      <w:r>
        <w:t xml:space="preserve"> </w:t>
      </w:r>
    </w:p>
    <w:p w:rsidR="00931774" w:rsidRDefault="00931774">
      <w:pPr>
        <w:jc w:val="right"/>
      </w:pPr>
      <w:r>
        <w:rPr>
          <w:rFonts w:hint="eastAsia"/>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4832"/>
        <w:gridCol w:w="2230"/>
        <w:gridCol w:w="2506"/>
      </w:tblGrid>
      <w:tr w:rsidR="00931774">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项目</w:t>
            </w:r>
          </w:p>
        </w:tc>
        <w:tc>
          <w:tcPr>
            <w:tcW w:w="223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年初至报告期期末金额</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说明</w:t>
            </w:r>
          </w:p>
        </w:tc>
      </w:tr>
      <w:tr w:rsidR="00931774">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计入当期损益的政府补助（与企业业务密切相关，按照国家统一标准定额或定量享受的政府补助除外）</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1,542,565.92</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p>
        </w:tc>
      </w:tr>
      <w:tr w:rsidR="00931774">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除上述各项之外的其他营业外收入和支出</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353,578.26</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p>
        </w:tc>
      </w:tr>
      <w:tr w:rsidR="00931774">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减：所得税影响额</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277,892.88</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p>
        </w:tc>
      </w:tr>
      <w:tr w:rsidR="00931774">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合计</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1,618,251.30</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t>--</w:t>
            </w:r>
          </w:p>
        </w:tc>
      </w:tr>
    </w:tbl>
    <w:p w:rsidR="00931774" w:rsidRDefault="00931774">
      <w:pPr>
        <w:jc w:val="left"/>
      </w:pPr>
      <w:r>
        <w:rPr>
          <w:rFonts w:hint="eastAsia"/>
        </w:rPr>
        <w:t>对公司根据《公开发行证券的公司信息披露解释性公告第</w:t>
      </w:r>
      <w:r>
        <w:t>1</w:t>
      </w:r>
      <w:r>
        <w:rPr>
          <w:rFonts w:hint="eastAsia"/>
        </w:rPr>
        <w:t>号</w:t>
      </w:r>
      <w:r>
        <w:t>——</w:t>
      </w:r>
      <w:r>
        <w:rPr>
          <w:rFonts w:hint="eastAsia"/>
        </w:rPr>
        <w:t>非经常性损益》定义界定的非经常性损益项目，以及把《公开发行证券的公司信息披露解释性公告第</w:t>
      </w:r>
      <w:r>
        <w:t>1</w:t>
      </w:r>
      <w:r>
        <w:rPr>
          <w:rFonts w:hint="eastAsia"/>
        </w:rPr>
        <w:t>号</w:t>
      </w:r>
      <w:r>
        <w:t>——</w:t>
      </w:r>
      <w:r>
        <w:rPr>
          <w:rFonts w:hint="eastAsia"/>
        </w:rPr>
        <w:t>非经常性损益》中列举的非经常性损益项目界定为经常性损益的项目，应说明原因</w:t>
      </w:r>
    </w:p>
    <w:p w:rsidR="00931774" w:rsidRDefault="00931774">
      <w:pPr>
        <w:jc w:val="left"/>
      </w:pPr>
      <w:r>
        <w:t xml:space="preserve">□ </w:t>
      </w:r>
      <w:r>
        <w:rPr>
          <w:rFonts w:hint="eastAsia"/>
        </w:rPr>
        <w:t>适用</w:t>
      </w:r>
      <w:r>
        <w:t xml:space="preserve"> √ </w:t>
      </w:r>
      <w:r>
        <w:rPr>
          <w:rFonts w:hint="eastAsia"/>
        </w:rPr>
        <w:t>不适用</w:t>
      </w:r>
      <w:r>
        <w:t xml:space="preserve"> </w:t>
      </w:r>
    </w:p>
    <w:p w:rsidR="00931774" w:rsidRDefault="00931774">
      <w:pPr>
        <w:jc w:val="left"/>
      </w:pPr>
      <w:r>
        <w:rPr>
          <w:rFonts w:hint="eastAsia"/>
        </w:rPr>
        <w:t>公司报告期不存在将根据《公开发行证券的公司信息披露解释性公告第</w:t>
      </w:r>
      <w:r>
        <w:t>1</w:t>
      </w:r>
      <w:r>
        <w:rPr>
          <w:rFonts w:hint="eastAsia"/>
        </w:rPr>
        <w:t>号</w:t>
      </w:r>
      <w:r>
        <w:t>——</w:t>
      </w:r>
      <w:r>
        <w:rPr>
          <w:rFonts w:hint="eastAsia"/>
        </w:rPr>
        <w:t>非经常性损益》定义、列举的非经常性损益项目界定为经常性损益的项目的情形。</w:t>
      </w:r>
    </w:p>
    <w:p w:rsidR="00931774" w:rsidRDefault="00931774">
      <w:pPr>
        <w:pStyle w:val="Chapter"/>
        <w:outlineLvl w:val="1"/>
      </w:pPr>
      <w:r>
        <w:rPr>
          <w:rFonts w:hint="eastAsia"/>
        </w:rPr>
        <w:lastRenderedPageBreak/>
        <w:t>二、报告期末股东总数及前十名股东持股情况表</w:t>
      </w:r>
    </w:p>
    <w:p w:rsidR="00931774" w:rsidRDefault="00931774">
      <w:pPr>
        <w:pStyle w:val="Section"/>
        <w:outlineLvl w:val="2"/>
      </w:pPr>
      <w:r>
        <w:t>1</w:t>
      </w:r>
      <w:r>
        <w:rPr>
          <w:rFonts w:hint="eastAsia"/>
        </w:rPr>
        <w:t>、报告期末普通股股东总数及前十名普通股股东持股情况表</w:t>
      </w:r>
    </w:p>
    <w:p w:rsidR="00931774" w:rsidRDefault="00931774">
      <w:pPr>
        <w:jc w:val="right"/>
      </w:pPr>
      <w:r>
        <w:rPr>
          <w:rFonts w:hint="eastAsia"/>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1344"/>
        <w:gridCol w:w="1348"/>
        <w:gridCol w:w="1348"/>
        <w:gridCol w:w="1348"/>
        <w:gridCol w:w="1348"/>
        <w:gridCol w:w="1348"/>
        <w:gridCol w:w="1485"/>
      </w:tblGrid>
      <w:tr w:rsidR="00931774">
        <w:tc>
          <w:tcPr>
            <w:tcW w:w="26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报告期末普通股股东总数</w:t>
            </w:r>
          </w:p>
        </w:tc>
        <w:tc>
          <w:tcPr>
            <w:tcW w:w="68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20,959</w:t>
            </w:r>
          </w:p>
        </w:tc>
      </w:tr>
      <w:tr w:rsidR="00931774">
        <w:tc>
          <w:tcPr>
            <w:tcW w:w="9569"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前</w:t>
            </w:r>
            <w:r>
              <w:t>10</w:t>
            </w:r>
            <w:r>
              <w:rPr>
                <w:rFonts w:hint="eastAsia"/>
              </w:rPr>
              <w:t>名普通股股东持股情况</w:t>
            </w:r>
          </w:p>
        </w:tc>
      </w:tr>
      <w:tr w:rsidR="00931774">
        <w:tc>
          <w:tcPr>
            <w:tcW w:w="134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股东名称</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股东性质</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持股比例</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持股数量</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持有有限售条件的股份数量</w:t>
            </w:r>
          </w:p>
        </w:tc>
        <w:tc>
          <w:tcPr>
            <w:tcW w:w="28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质押或冻结情况</w:t>
            </w:r>
          </w:p>
        </w:tc>
      </w:tr>
      <w:tr w:rsidR="00931774">
        <w:tc>
          <w:tcPr>
            <w:tcW w:w="1344"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股份状态</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数量</w:t>
            </w: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新疆广泰空港股权投资有限合伙企业</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境内非国有法人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34.15%</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104,940,545</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李光太</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境内自然人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17.10%</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52,542,409</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39,406,807</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烟台国际机场集团航空食品有限公司</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国有法人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2.55%</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7,836,566</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全国社会保障基金理事会转持二户</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国有法人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2.11%</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6,487,200</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中国建设银行股份有限公司－富国中证军工指数分级证券投资基金</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其他</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1.03%</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3,166,823</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广发基金－宁波银行－广发开泰特定多客户资产管理计划</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其他</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0.96%</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2,962,521</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东方证券股份有限公司</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国有法人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0.94%</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2,884,739</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郭少平</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境内自然人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0.93%</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2,846,738</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2,135,053</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孟岩</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境内自然人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0.90%</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2,754,000</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2,065,500</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1344"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广发证券股份有限公司</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境内非国有法人</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0.79%</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2,420,924</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p>
        </w:tc>
      </w:tr>
      <w:tr w:rsidR="00931774">
        <w:tc>
          <w:tcPr>
            <w:tcW w:w="9569"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前</w:t>
            </w:r>
            <w:r>
              <w:t>10</w:t>
            </w:r>
            <w:r>
              <w:rPr>
                <w:rFonts w:hint="eastAsia"/>
              </w:rPr>
              <w:t>名无限售条件普通股股东持股情况</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股东名称</w:t>
            </w:r>
          </w:p>
        </w:tc>
        <w:tc>
          <w:tcPr>
            <w:tcW w:w="4044"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持有无限售条件普通股股份数量</w:t>
            </w:r>
          </w:p>
        </w:tc>
        <w:tc>
          <w:tcPr>
            <w:tcW w:w="28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股份种类</w:t>
            </w:r>
          </w:p>
        </w:tc>
      </w:tr>
      <w:tr w:rsidR="00931774">
        <w:tc>
          <w:tcPr>
            <w:tcW w:w="2692" w:type="dxa"/>
            <w:gridSpan w:val="2"/>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4044" w:type="dxa"/>
            <w:gridSpan w:val="3"/>
            <w:vMerge/>
            <w:tcBorders>
              <w:top w:val="single" w:sz="4" w:space="0" w:color="auto"/>
              <w:left w:val="single" w:sz="4" w:space="0" w:color="auto"/>
              <w:bottom w:val="single" w:sz="4" w:space="0" w:color="auto"/>
              <w:right w:val="single" w:sz="4" w:space="0" w:color="auto"/>
            </w:tcBorders>
            <w:vAlign w:val="center"/>
          </w:tcPr>
          <w:p w:rsidR="00931774" w:rsidRDefault="00931774">
            <w:pPr>
              <w:jc w:val="center"/>
            </w:pPr>
          </w:p>
        </w:tc>
        <w:tc>
          <w:tcPr>
            <w:tcW w:w="1348"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股份种类</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pPr>
            <w:r>
              <w:rPr>
                <w:rFonts w:hint="eastAsia"/>
              </w:rPr>
              <w:t>数量</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新疆广泰空港股权投资有限合伙企业</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104,940,545</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104,940,545</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lastRenderedPageBreak/>
              <w:t>李光太</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13,135,602</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13,135,602</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烟台国际机场集团航空食品有限公司</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7,836,566</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7,836,566</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全国社会保障基金理事会转持二户</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6,487,200</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6,487,200</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中国建设银行股份有限公司－富国中证军工指数分级证券投资基金</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3,166,823</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3,166,823</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广发基金－宁波银行－广发开泰特定多客户资产管理计划</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2,962,521</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2,962,521</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东方证券股份有限公司</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2,884,739</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2,884,739</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广发证券股份有限公司</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2,420,924</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2,420,924</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韩朝东</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1,917,518</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1,917,518</w:t>
            </w:r>
          </w:p>
        </w:tc>
      </w:tr>
      <w:tr w:rsidR="00931774">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pPr>
            <w:r>
              <w:rPr>
                <w:rFonts w:hint="eastAsia"/>
              </w:rPr>
              <w:t>中国建设银行－华宝兴业行业精选股票型证券投资基金</w:t>
            </w:r>
          </w:p>
        </w:tc>
        <w:tc>
          <w:tcPr>
            <w:tcW w:w="4044" w:type="dxa"/>
            <w:gridSpan w:val="3"/>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right"/>
            </w:pPr>
            <w:r>
              <w:t>1,746,153</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人民币普通股</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pPr>
            <w:r>
              <w:t>1,746,153</w:t>
            </w:r>
          </w:p>
        </w:tc>
      </w:tr>
      <w:tr w:rsidR="00931774">
        <w:tc>
          <w:tcPr>
            <w:tcW w:w="26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上述股东关联关系或一致行动的说明</w:t>
            </w:r>
          </w:p>
        </w:tc>
        <w:tc>
          <w:tcPr>
            <w:tcW w:w="68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李光太先生持有新疆广泰空港股权投资有限合伙企业</w:t>
            </w:r>
            <w:r>
              <w:t>40.16%</w:t>
            </w:r>
            <w:r>
              <w:rPr>
                <w:rFonts w:hint="eastAsia"/>
              </w:rPr>
              <w:t>的股份，同时持有威海广泰</w:t>
            </w:r>
            <w:r>
              <w:t>17.10%</w:t>
            </w:r>
            <w:r>
              <w:rPr>
                <w:rFonts w:hint="eastAsia"/>
              </w:rPr>
              <w:t>的股份。李光太先生与新疆广泰空港股权投资有限合伙企业为一致行动人。未知其他股东之间是否存在关联关系，也未知是否属于《上市公司持股变动信息披露管理办法》中规定的一致行动人。</w:t>
            </w:r>
          </w:p>
        </w:tc>
      </w:tr>
      <w:tr w:rsidR="00931774">
        <w:tc>
          <w:tcPr>
            <w:tcW w:w="26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pPr>
            <w:r>
              <w:rPr>
                <w:rFonts w:hint="eastAsia"/>
              </w:rPr>
              <w:t>前</w:t>
            </w:r>
            <w:r>
              <w:t>10</w:t>
            </w:r>
            <w:r>
              <w:rPr>
                <w:rFonts w:hint="eastAsia"/>
              </w:rPr>
              <w:t>名普通股股东参与融资融券业务股东情况说明（如有）</w:t>
            </w:r>
          </w:p>
        </w:tc>
        <w:tc>
          <w:tcPr>
            <w:tcW w:w="68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pPr>
            <w:r>
              <w:rPr>
                <w:rFonts w:hint="eastAsia"/>
              </w:rPr>
              <w:t>韩朝东通过国泰君安证券股份有限公司客户信用交易担保证券账户持股</w:t>
            </w:r>
            <w:r>
              <w:t>1,917,518</w:t>
            </w:r>
            <w:r>
              <w:rPr>
                <w:rFonts w:hint="eastAsia"/>
              </w:rPr>
              <w:t>股。</w:t>
            </w:r>
          </w:p>
        </w:tc>
      </w:tr>
    </w:tbl>
    <w:p w:rsidR="00931774" w:rsidRDefault="00931774">
      <w:pPr>
        <w:jc w:val="left"/>
      </w:pPr>
      <w:r>
        <w:rPr>
          <w:rFonts w:hint="eastAsia"/>
        </w:rPr>
        <w:t>公司前</w:t>
      </w:r>
      <w:r>
        <w:t>10</w:t>
      </w:r>
      <w:r>
        <w:rPr>
          <w:rFonts w:hint="eastAsia"/>
        </w:rPr>
        <w:t>名普通股股东、前</w:t>
      </w:r>
      <w:r>
        <w:t>10</w:t>
      </w:r>
      <w:r>
        <w:rPr>
          <w:rFonts w:hint="eastAsia"/>
        </w:rPr>
        <w:t>名无限售条件普通股股东在报告期内是否进行约定购回交易</w:t>
      </w:r>
    </w:p>
    <w:p w:rsidR="00931774" w:rsidRDefault="00931774">
      <w:pPr>
        <w:jc w:val="left"/>
      </w:pPr>
      <w:r>
        <w:t xml:space="preserve">□ </w:t>
      </w:r>
      <w:r>
        <w:rPr>
          <w:rFonts w:hint="eastAsia"/>
        </w:rPr>
        <w:t>是</w:t>
      </w:r>
      <w:r>
        <w:t xml:space="preserve"> √ </w:t>
      </w:r>
      <w:r>
        <w:rPr>
          <w:rFonts w:hint="eastAsia"/>
        </w:rPr>
        <w:t>否</w:t>
      </w:r>
      <w:r>
        <w:t xml:space="preserve"> </w:t>
      </w:r>
    </w:p>
    <w:p w:rsidR="00931774" w:rsidRDefault="00931774">
      <w:pPr>
        <w:jc w:val="left"/>
      </w:pPr>
      <w:r>
        <w:rPr>
          <w:rFonts w:hint="eastAsia"/>
        </w:rPr>
        <w:t>公司前</w:t>
      </w:r>
      <w:r>
        <w:t>10</w:t>
      </w:r>
      <w:r>
        <w:rPr>
          <w:rFonts w:hint="eastAsia"/>
        </w:rPr>
        <w:t>名普通股股东、前</w:t>
      </w:r>
      <w:r>
        <w:t>10</w:t>
      </w:r>
      <w:r>
        <w:rPr>
          <w:rFonts w:hint="eastAsia"/>
        </w:rPr>
        <w:t>名无限售条件普通股股东在报告期内未进行约定购回交易。</w:t>
      </w:r>
    </w:p>
    <w:p w:rsidR="00931774" w:rsidRDefault="00931774">
      <w:pPr>
        <w:pStyle w:val="Section"/>
        <w:outlineLvl w:val="2"/>
      </w:pPr>
      <w:r>
        <w:t>2</w:t>
      </w:r>
      <w:r>
        <w:rPr>
          <w:rFonts w:hint="eastAsia"/>
        </w:rPr>
        <w:t>、报告期末优先股股东总数及前十名优先股股东持股情况表</w:t>
      </w:r>
    </w:p>
    <w:p w:rsidR="00931774" w:rsidRDefault="00931774">
      <w:pPr>
        <w:jc w:val="left"/>
      </w:pPr>
      <w:r>
        <w:t xml:space="preserve">□ </w:t>
      </w:r>
      <w:r>
        <w:rPr>
          <w:rFonts w:hint="eastAsia"/>
        </w:rPr>
        <w:t>适用</w:t>
      </w:r>
      <w:r>
        <w:t xml:space="preserve"> √ </w:t>
      </w:r>
      <w:r>
        <w:rPr>
          <w:rFonts w:hint="eastAsia"/>
        </w:rPr>
        <w:t>不适用</w:t>
      </w:r>
      <w:r>
        <w:t xml:space="preserve"> </w:t>
      </w:r>
    </w:p>
    <w:p w:rsidR="00931774" w:rsidRDefault="00931774">
      <w:pPr>
        <w:jc w:val="left"/>
        <w:sectPr w:rsidR="00931774">
          <w:pgSz w:w="11906" w:h="16838"/>
          <w:pgMar w:top="1440" w:right="1134" w:bottom="1440" w:left="1134" w:header="851" w:footer="992" w:gutter="0"/>
          <w:cols w:space="425"/>
          <w:docGrid w:type="lines" w:linePitch="312"/>
        </w:sectPr>
      </w:pPr>
    </w:p>
    <w:p w:rsidR="00931774" w:rsidRDefault="00931774">
      <w:pPr>
        <w:pStyle w:val="a3"/>
        <w:outlineLvl w:val="0"/>
      </w:pPr>
      <w:bookmarkStart w:id="2" w:name="_Toc300000086"/>
      <w:r>
        <w:rPr>
          <w:rFonts w:hint="eastAsia"/>
        </w:rPr>
        <w:lastRenderedPageBreak/>
        <w:t>第三节</w:t>
      </w:r>
      <w:r>
        <w:t xml:space="preserve"> </w:t>
      </w:r>
      <w:r>
        <w:rPr>
          <w:rFonts w:hint="eastAsia"/>
        </w:rPr>
        <w:t>重要事项</w:t>
      </w:r>
      <w:bookmarkEnd w:id="2"/>
    </w:p>
    <w:p w:rsidR="00931774" w:rsidRDefault="00931774">
      <w:pPr>
        <w:pStyle w:val="Chapter"/>
        <w:outlineLvl w:val="1"/>
      </w:pPr>
      <w:r>
        <w:rPr>
          <w:rFonts w:hint="eastAsia"/>
        </w:rPr>
        <w:t>一、报告期主要会计报表项目、财务指标发生变动的情况及原因</w:t>
      </w:r>
    </w:p>
    <w:p w:rsidR="00931774" w:rsidRDefault="00931774">
      <w:pPr>
        <w:jc w:val="left"/>
      </w:pPr>
      <w:r>
        <w:t xml:space="preserve">√ </w:t>
      </w:r>
      <w:r>
        <w:rPr>
          <w:rFonts w:hint="eastAsia"/>
        </w:rPr>
        <w:t>适用</w:t>
      </w:r>
      <w:r>
        <w:t xml:space="preserve"> □ </w:t>
      </w:r>
      <w:r>
        <w:rPr>
          <w:rFonts w:hint="eastAsia"/>
        </w:rPr>
        <w:t>不适用</w:t>
      </w:r>
      <w:r>
        <w:t xml:space="preserve"> </w:t>
      </w:r>
    </w:p>
    <w:tbl>
      <w:tblPr>
        <w:tblW w:w="0" w:type="auto"/>
        <w:tblInd w:w="10" w:type="dxa"/>
        <w:tblBorders>
          <w:top w:val="single" w:sz="6" w:space="0" w:color="auto"/>
          <w:bottom w:val="single" w:sz="6" w:space="0" w:color="auto"/>
          <w:right w:val="single" w:sz="6" w:space="0" w:color="auto"/>
          <w:insideH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316"/>
        <w:gridCol w:w="1657"/>
        <w:gridCol w:w="1982"/>
        <w:gridCol w:w="1620"/>
        <w:gridCol w:w="2536"/>
      </w:tblGrid>
      <w:tr w:rsidR="00931774">
        <w:tc>
          <w:tcPr>
            <w:tcW w:w="2316"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bCs/>
                <w:kern w:val="0"/>
                <w:lang w:val="zh-CN"/>
              </w:rPr>
            </w:pPr>
            <w:r>
              <w:rPr>
                <w:rFonts w:ascii="宋体" w:hAnsi="宋体" w:cs="宋体" w:hint="eastAsia"/>
                <w:b/>
                <w:bCs/>
                <w:kern w:val="0"/>
                <w:lang w:val="zh-CN"/>
              </w:rPr>
              <w:t>项目</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2015</w:t>
            </w:r>
            <w:r>
              <w:rPr>
                <w:rFonts w:ascii="宋体" w:hAnsi="宋体" w:cs="宋体" w:hint="eastAsia"/>
                <w:b/>
                <w:kern w:val="0"/>
                <w:lang w:val="zh-CN"/>
              </w:rPr>
              <w:t>年</w:t>
            </w:r>
            <w:r>
              <w:rPr>
                <w:rFonts w:eastAsia="Times New Roman"/>
                <w:b/>
                <w:kern w:val="0"/>
                <w:lang w:val="zh-CN"/>
              </w:rPr>
              <w:t>3</w:t>
            </w:r>
            <w:r>
              <w:rPr>
                <w:rFonts w:ascii="宋体" w:hAnsi="宋体" w:cs="宋体" w:hint="eastAsia"/>
                <w:b/>
                <w:kern w:val="0"/>
                <w:lang w:val="zh-CN"/>
              </w:rPr>
              <w:t>月</w:t>
            </w:r>
            <w:r>
              <w:rPr>
                <w:rFonts w:eastAsia="Times New Roman"/>
                <w:b/>
                <w:kern w:val="0"/>
                <w:lang w:val="zh-CN"/>
              </w:rPr>
              <w:t>31</w:t>
            </w:r>
            <w:r>
              <w:rPr>
                <w:rFonts w:ascii="宋体" w:hAnsi="宋体" w:cs="宋体" w:hint="eastAsia"/>
                <w:b/>
                <w:kern w:val="0"/>
                <w:lang w:val="zh-CN"/>
              </w:rPr>
              <w:t>日</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2014</w:t>
            </w:r>
            <w:r>
              <w:rPr>
                <w:rFonts w:ascii="宋体" w:hAnsi="宋体" w:cs="宋体" w:hint="eastAsia"/>
                <w:b/>
                <w:kern w:val="0"/>
                <w:lang w:val="zh-CN"/>
              </w:rPr>
              <w:t>年</w:t>
            </w:r>
            <w:r>
              <w:rPr>
                <w:rFonts w:eastAsia="Times New Roman"/>
                <w:b/>
                <w:kern w:val="0"/>
                <w:lang w:val="zh-CN"/>
              </w:rPr>
              <w:t>12</w:t>
            </w:r>
            <w:r>
              <w:rPr>
                <w:rFonts w:ascii="宋体" w:hAnsi="宋体" w:cs="宋体" w:hint="eastAsia"/>
                <w:b/>
                <w:kern w:val="0"/>
                <w:lang w:val="zh-CN"/>
              </w:rPr>
              <w:t>月</w:t>
            </w:r>
            <w:r>
              <w:rPr>
                <w:rFonts w:eastAsia="Times New Roman"/>
                <w:b/>
                <w:kern w:val="0"/>
                <w:lang w:val="zh-CN"/>
              </w:rPr>
              <w:t>31</w:t>
            </w:r>
            <w:r>
              <w:rPr>
                <w:rFonts w:ascii="宋体" w:hAnsi="宋体" w:cs="宋体" w:hint="eastAsia"/>
                <w:b/>
                <w:kern w:val="0"/>
                <w:lang w:val="zh-CN"/>
              </w:rPr>
              <w:t>日</w:t>
            </w:r>
          </w:p>
        </w:tc>
        <w:tc>
          <w:tcPr>
            <w:tcW w:w="1620" w:type="dxa"/>
            <w:tcBorders>
              <w:left w:val="nil"/>
              <w:right w:val="single" w:sz="6" w:space="0" w:color="auto"/>
            </w:tcBorders>
          </w:tcPr>
          <w:p w:rsidR="00931774" w:rsidRDefault="00931774">
            <w:pPr>
              <w:autoSpaceDE w:val="0"/>
              <w:autoSpaceDN w:val="0"/>
              <w:adjustRightInd w:val="0"/>
              <w:spacing w:before="0" w:after="0"/>
              <w:rPr>
                <w:rFonts w:eastAsia="Times New Roman"/>
                <w:b/>
                <w:kern w:val="0"/>
                <w:lang w:val="zh-CN"/>
              </w:rPr>
            </w:pPr>
            <w:r>
              <w:rPr>
                <w:rFonts w:ascii="宋体" w:hAnsi="宋体" w:cs="宋体" w:hint="eastAsia"/>
                <w:b/>
                <w:kern w:val="0"/>
                <w:lang w:val="zh-CN"/>
              </w:rPr>
              <w:t>增减幅度</w:t>
            </w:r>
          </w:p>
        </w:tc>
        <w:tc>
          <w:tcPr>
            <w:tcW w:w="2536" w:type="dxa"/>
            <w:tcBorders>
              <w:left w:val="nil"/>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说明</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货币资金</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362,235,395.11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236,723,040.95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53.02%</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上年用募集资金购买的理财到期，本息期末到账</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应收票据</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 xml:space="preserve">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4,305,000.00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-100.00%</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期初应收票据全部已背书转让</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应收利息</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6,708.33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4,726,897.22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-99.86%</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1.3</w:t>
            </w:r>
            <w:r>
              <w:rPr>
                <w:rFonts w:ascii="宋体" w:hAnsi="宋体" w:cs="宋体" w:hint="eastAsia"/>
                <w:kern w:val="0"/>
                <w:lang w:val="zh-CN"/>
              </w:rPr>
              <w:t>亿理财已到期利息已收回</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其他流动资产</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2,783,583.92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132,351,324.30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-97.90%</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1.3</w:t>
            </w:r>
            <w:r>
              <w:rPr>
                <w:rFonts w:ascii="宋体" w:hAnsi="宋体" w:cs="宋体" w:hint="eastAsia"/>
                <w:kern w:val="0"/>
                <w:lang w:val="zh-CN"/>
              </w:rPr>
              <w:t>亿理财赎回</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其他非流动资产</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13,596,772.54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10,421,659.18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30.47%</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预付工程、设备款增加</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应付票据</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67,717,906.63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183,520,565.46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-63.10%</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承兑到期兑付</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应付职工薪酬</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3,891,425.04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7,248,190.93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-46.31%</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已支付部分去年已计提奖金</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应交税费</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14,108,460.87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22,072,794.12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-36.08%</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未缴纳税金减少</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其他应付款</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25,536,263.56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19,135,636.75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33.45%</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新增与联营公司之间往来款</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 xml:space="preserve">　</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 xml:space="preserve">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 xml:space="preserve">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 xml:space="preserve">　</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 xml:space="preserve">　</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项目</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2015</w:t>
            </w:r>
            <w:r>
              <w:rPr>
                <w:rFonts w:ascii="宋体" w:hAnsi="宋体" w:cs="宋体" w:hint="eastAsia"/>
                <w:kern w:val="0"/>
                <w:lang w:val="zh-CN"/>
              </w:rPr>
              <w:t>年</w:t>
            </w:r>
            <w:r>
              <w:rPr>
                <w:rFonts w:eastAsia="Times New Roman"/>
                <w:kern w:val="0"/>
                <w:lang w:val="zh-CN"/>
              </w:rPr>
              <w:t>1-3</w:t>
            </w:r>
            <w:r w:rsidR="0042544D">
              <w:rPr>
                <w:rFonts w:ascii="宋体" w:hAnsi="宋体" w:cs="宋体" w:hint="eastAsia"/>
                <w:b/>
                <w:kern w:val="0"/>
                <w:lang w:val="zh-CN"/>
              </w:rPr>
              <w:t>月</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2014</w:t>
            </w:r>
            <w:r>
              <w:rPr>
                <w:rFonts w:ascii="宋体" w:hAnsi="宋体" w:cs="宋体" w:hint="eastAsia"/>
                <w:kern w:val="0"/>
                <w:lang w:val="zh-CN"/>
              </w:rPr>
              <w:t>年</w:t>
            </w:r>
            <w:r>
              <w:rPr>
                <w:rFonts w:eastAsia="Times New Roman"/>
                <w:kern w:val="0"/>
                <w:lang w:val="zh-CN"/>
              </w:rPr>
              <w:t>1-3</w:t>
            </w:r>
            <w:r w:rsidR="0042544D">
              <w:rPr>
                <w:rFonts w:ascii="宋体" w:hAnsi="宋体" w:cs="宋体" w:hint="eastAsia"/>
                <w:b/>
                <w:kern w:val="0"/>
                <w:lang w:val="zh-CN"/>
              </w:rPr>
              <w:t>月</w:t>
            </w:r>
          </w:p>
        </w:tc>
        <w:tc>
          <w:tcPr>
            <w:tcW w:w="1620" w:type="dxa"/>
            <w:tcBorders>
              <w:left w:val="nil"/>
              <w:right w:val="single" w:sz="6" w:space="0" w:color="auto"/>
            </w:tcBorders>
          </w:tcPr>
          <w:p w:rsidR="00931774" w:rsidRDefault="00931774">
            <w:pPr>
              <w:autoSpaceDE w:val="0"/>
              <w:autoSpaceDN w:val="0"/>
              <w:adjustRightInd w:val="0"/>
              <w:spacing w:before="0" w:after="0"/>
              <w:rPr>
                <w:rFonts w:eastAsia="Times New Roman"/>
                <w:b/>
                <w:kern w:val="0"/>
                <w:lang w:val="zh-CN"/>
              </w:rPr>
            </w:pPr>
            <w:r>
              <w:rPr>
                <w:rFonts w:ascii="宋体" w:hAnsi="宋体" w:cs="宋体" w:hint="eastAsia"/>
                <w:b/>
                <w:kern w:val="0"/>
                <w:lang w:val="zh-CN"/>
              </w:rPr>
              <w:t>增减幅度</w:t>
            </w:r>
          </w:p>
        </w:tc>
        <w:tc>
          <w:tcPr>
            <w:tcW w:w="2536" w:type="dxa"/>
            <w:tcBorders>
              <w:left w:val="nil"/>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说明</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销售费用</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17,112,783.30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10,516,567.98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62.72%</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仓储费增加</w:t>
            </w:r>
            <w:r>
              <w:rPr>
                <w:rFonts w:eastAsia="Times New Roman"/>
                <w:kern w:val="0"/>
                <w:lang w:val="zh-CN"/>
              </w:rPr>
              <w:t>386</w:t>
            </w:r>
            <w:r>
              <w:rPr>
                <w:rFonts w:ascii="宋体" w:hAnsi="宋体" w:cs="宋体" w:hint="eastAsia"/>
                <w:kern w:val="0"/>
                <w:lang w:val="zh-CN"/>
              </w:rPr>
              <w:t>万元</w:t>
            </w:r>
            <w:r>
              <w:rPr>
                <w:rFonts w:eastAsia="Times New Roman"/>
                <w:kern w:val="0"/>
                <w:lang w:val="zh-CN"/>
              </w:rPr>
              <w:t>,</w:t>
            </w:r>
            <w:r>
              <w:rPr>
                <w:rFonts w:ascii="宋体" w:hAnsi="宋体" w:cs="宋体" w:hint="eastAsia"/>
                <w:kern w:val="0"/>
                <w:lang w:val="zh-CN"/>
              </w:rPr>
              <w:t>另外职工薪酬、售后服务费有一定增幅</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管理费用</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34,964,442.64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26,342,520.99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32.73%</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产品研发费、职工薪酬、土地税都有明显增幅</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资产减值损失</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1,041,950.68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3,566,798.98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-70.79%</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期初应收账款本期回收较多</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营业外收入</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1,947,994.18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2,625,385.68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-25.80%</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政府补助款有所降低</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营业外支出</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51,850.00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19,900.00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160.55%</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非经常损失增加</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 xml:space="preserve">　</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 xml:space="preserve">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 xml:space="preserve">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 xml:space="preserve">　</w:t>
            </w:r>
          </w:p>
        </w:tc>
        <w:tc>
          <w:tcPr>
            <w:tcW w:w="2536" w:type="dxa"/>
            <w:tcBorders>
              <w:left w:val="nil"/>
            </w:tcBorders>
          </w:tcPr>
          <w:p w:rsidR="00931774" w:rsidRDefault="00931774">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 xml:space="preserve">　</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项目</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2015</w:t>
            </w:r>
            <w:r>
              <w:rPr>
                <w:rFonts w:ascii="宋体" w:hAnsi="宋体" w:cs="宋体" w:hint="eastAsia"/>
                <w:kern w:val="0"/>
                <w:lang w:val="zh-CN"/>
              </w:rPr>
              <w:t>年</w:t>
            </w:r>
            <w:r>
              <w:rPr>
                <w:rFonts w:eastAsia="Times New Roman"/>
                <w:kern w:val="0"/>
                <w:lang w:val="zh-CN"/>
              </w:rPr>
              <w:t>1-3</w:t>
            </w:r>
            <w:r w:rsidR="0042544D">
              <w:rPr>
                <w:rFonts w:ascii="宋体" w:hAnsi="宋体" w:cs="宋体" w:hint="eastAsia"/>
                <w:b/>
                <w:kern w:val="0"/>
                <w:lang w:val="zh-CN"/>
              </w:rPr>
              <w:t>月</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2014</w:t>
            </w:r>
            <w:r>
              <w:rPr>
                <w:rFonts w:ascii="宋体" w:hAnsi="宋体" w:cs="宋体" w:hint="eastAsia"/>
                <w:kern w:val="0"/>
                <w:lang w:val="zh-CN"/>
              </w:rPr>
              <w:t>年</w:t>
            </w:r>
            <w:r>
              <w:rPr>
                <w:rFonts w:eastAsia="Times New Roman"/>
                <w:kern w:val="0"/>
                <w:lang w:val="zh-CN"/>
              </w:rPr>
              <w:t>1-3</w:t>
            </w:r>
            <w:r w:rsidR="0042544D">
              <w:rPr>
                <w:rFonts w:ascii="宋体" w:hAnsi="宋体" w:cs="宋体" w:hint="eastAsia"/>
                <w:b/>
                <w:kern w:val="0"/>
                <w:lang w:val="zh-CN"/>
              </w:rPr>
              <w:t>月</w:t>
            </w:r>
          </w:p>
        </w:tc>
        <w:tc>
          <w:tcPr>
            <w:tcW w:w="1620" w:type="dxa"/>
            <w:tcBorders>
              <w:left w:val="nil"/>
              <w:right w:val="single" w:sz="6" w:space="0" w:color="auto"/>
            </w:tcBorders>
          </w:tcPr>
          <w:p w:rsidR="00931774" w:rsidRDefault="00931774">
            <w:pPr>
              <w:autoSpaceDE w:val="0"/>
              <w:autoSpaceDN w:val="0"/>
              <w:adjustRightInd w:val="0"/>
              <w:spacing w:before="0" w:after="0"/>
              <w:rPr>
                <w:rFonts w:eastAsia="Times New Roman"/>
                <w:b/>
                <w:kern w:val="0"/>
                <w:lang w:val="zh-CN"/>
              </w:rPr>
            </w:pPr>
            <w:r>
              <w:rPr>
                <w:rFonts w:ascii="宋体" w:hAnsi="宋体" w:cs="宋体" w:hint="eastAsia"/>
                <w:b/>
                <w:kern w:val="0"/>
                <w:lang w:val="zh-CN"/>
              </w:rPr>
              <w:t>增减幅度</w:t>
            </w:r>
          </w:p>
        </w:tc>
        <w:tc>
          <w:tcPr>
            <w:tcW w:w="2536" w:type="dxa"/>
            <w:tcBorders>
              <w:left w:val="nil"/>
            </w:tcBorders>
          </w:tcPr>
          <w:p w:rsidR="00931774" w:rsidRDefault="00931774">
            <w:pPr>
              <w:autoSpaceDE w:val="0"/>
              <w:autoSpaceDN w:val="0"/>
              <w:adjustRightInd w:val="0"/>
              <w:spacing w:before="0" w:after="0"/>
              <w:jc w:val="center"/>
              <w:rPr>
                <w:rFonts w:eastAsia="Times New Roman"/>
                <w:b/>
                <w:kern w:val="0"/>
                <w:lang w:val="zh-CN"/>
              </w:rPr>
            </w:pPr>
            <w:r>
              <w:rPr>
                <w:rFonts w:ascii="宋体" w:hAnsi="宋体" w:cs="宋体" w:hint="eastAsia"/>
                <w:b/>
                <w:kern w:val="0"/>
                <w:lang w:val="zh-CN"/>
              </w:rPr>
              <w:t>说明</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经营活动产生的现金流量净额</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19,721,002.43</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-35,396,548.22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155.71%</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本期收到委内合同预付款，使当期经营现金流入大幅增加</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投资活动产生的现金流量净额</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114,790,235.76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-15,233,693.07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853.53%</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本期</w:t>
            </w:r>
            <w:r>
              <w:rPr>
                <w:rFonts w:eastAsia="Times New Roman"/>
                <w:kern w:val="0"/>
                <w:lang w:val="zh-CN"/>
              </w:rPr>
              <w:t>1.3</w:t>
            </w:r>
            <w:r>
              <w:rPr>
                <w:rFonts w:ascii="宋体" w:hAnsi="宋体" w:cs="宋体" w:hint="eastAsia"/>
                <w:kern w:val="0"/>
                <w:lang w:val="zh-CN"/>
              </w:rPr>
              <w:t>亿元理财赎回增加了投资活动净流量</w:t>
            </w:r>
          </w:p>
        </w:tc>
      </w:tr>
      <w:tr w:rsidR="00931774">
        <w:tc>
          <w:tcPr>
            <w:tcW w:w="2316" w:type="dxa"/>
            <w:tcBorders>
              <w:left w:val="nil"/>
              <w:right w:val="single" w:sz="6" w:space="0" w:color="auto"/>
            </w:tcBorders>
          </w:tcPr>
          <w:p w:rsidR="00931774" w:rsidRDefault="00931774">
            <w:pPr>
              <w:autoSpaceDE w:val="0"/>
              <w:autoSpaceDN w:val="0"/>
              <w:adjustRightInd w:val="0"/>
              <w:spacing w:before="0" w:after="0"/>
              <w:jc w:val="left"/>
              <w:rPr>
                <w:rFonts w:eastAsia="Times New Roman"/>
                <w:b/>
                <w:kern w:val="0"/>
                <w:lang w:val="zh-CN"/>
              </w:rPr>
            </w:pPr>
            <w:r>
              <w:rPr>
                <w:rFonts w:ascii="宋体" w:hAnsi="宋体" w:cs="宋体" w:hint="eastAsia"/>
                <w:b/>
                <w:kern w:val="0"/>
                <w:lang w:val="zh-CN"/>
              </w:rPr>
              <w:t>筹资活动产生的现金流量净额</w:t>
            </w:r>
          </w:p>
        </w:tc>
        <w:tc>
          <w:tcPr>
            <w:tcW w:w="1657"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-3,961,677.59 </w:t>
            </w:r>
          </w:p>
        </w:tc>
        <w:tc>
          <w:tcPr>
            <w:tcW w:w="1982" w:type="dxa"/>
            <w:tcBorders>
              <w:left w:val="nil"/>
              <w:right w:val="single" w:sz="6" w:space="0" w:color="auto"/>
            </w:tcBorders>
          </w:tcPr>
          <w:p w:rsidR="00931774" w:rsidRDefault="00931774">
            <w:pPr>
              <w:autoSpaceDE w:val="0"/>
              <w:autoSpaceDN w:val="0"/>
              <w:adjustRightInd w:val="0"/>
              <w:spacing w:before="0" w:after="0"/>
              <w:jc w:val="center"/>
              <w:rPr>
                <w:rFonts w:eastAsia="Times New Roman"/>
                <w:b/>
                <w:kern w:val="0"/>
                <w:lang w:val="zh-CN"/>
              </w:rPr>
            </w:pPr>
            <w:r>
              <w:rPr>
                <w:rFonts w:eastAsia="Times New Roman"/>
                <w:b/>
                <w:kern w:val="0"/>
                <w:lang w:val="zh-CN"/>
              </w:rPr>
              <w:t xml:space="preserve">  146,770,551.40 </w:t>
            </w:r>
          </w:p>
        </w:tc>
        <w:tc>
          <w:tcPr>
            <w:tcW w:w="1620" w:type="dxa"/>
            <w:tcBorders>
              <w:left w:val="nil"/>
              <w:right w:val="single" w:sz="6" w:space="0" w:color="auto"/>
            </w:tcBorders>
          </w:tcPr>
          <w:p w:rsidR="00931774" w:rsidRDefault="00931774">
            <w:pPr>
              <w:autoSpaceDE w:val="0"/>
              <w:autoSpaceDN w:val="0"/>
              <w:adjustRightInd w:val="0"/>
              <w:spacing w:before="0" w:after="0"/>
              <w:jc w:val="left"/>
              <w:rPr>
                <w:rFonts w:eastAsia="Times New Roman"/>
                <w:kern w:val="0"/>
                <w:lang w:val="zh-CN"/>
              </w:rPr>
            </w:pPr>
            <w:r>
              <w:rPr>
                <w:rFonts w:eastAsia="Times New Roman"/>
                <w:kern w:val="0"/>
                <w:lang w:val="zh-CN"/>
              </w:rPr>
              <w:t>-102.70%</w:t>
            </w:r>
          </w:p>
        </w:tc>
        <w:tc>
          <w:tcPr>
            <w:tcW w:w="2536" w:type="dxa"/>
            <w:tcBorders>
              <w:left w:val="nil"/>
            </w:tcBorders>
          </w:tcPr>
          <w:p w:rsidR="00931774" w:rsidRDefault="00931774">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本期货款回收好，贷款相对减少</w:t>
            </w:r>
          </w:p>
        </w:tc>
      </w:tr>
    </w:tbl>
    <w:p w:rsidR="00931774" w:rsidRDefault="00931774">
      <w:pPr>
        <w:autoSpaceDE w:val="0"/>
        <w:autoSpaceDN w:val="0"/>
        <w:adjustRightInd w:val="0"/>
        <w:spacing w:before="0" w:after="0"/>
        <w:jc w:val="left"/>
        <w:rPr>
          <w:rFonts w:eastAsia="Times New Roman"/>
          <w:kern w:val="0"/>
          <w:lang w:val="zh-CN"/>
        </w:rPr>
      </w:pPr>
    </w:p>
    <w:p w:rsidR="00931774" w:rsidRDefault="00931774">
      <w:pPr>
        <w:pStyle w:val="Chapter"/>
        <w:outlineLvl w:val="1"/>
        <w:rPr>
          <w:bCs w:val="0"/>
        </w:rPr>
      </w:pPr>
      <w:r>
        <w:rPr>
          <w:rFonts w:hint="eastAsia"/>
          <w:bCs w:val="0"/>
        </w:rPr>
        <w:t>二、重要事项进展情况及其影响和解决方案的分析说明</w:t>
      </w:r>
    </w:p>
    <w:p w:rsidR="00931774" w:rsidRDefault="0093177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931774" w:rsidRDefault="00931774" w:rsidP="00F3005F">
      <w:pPr>
        <w:autoSpaceDE w:val="0"/>
        <w:autoSpaceDN w:val="0"/>
        <w:adjustRightInd w:val="0"/>
        <w:spacing w:before="0" w:after="0" w:line="360" w:lineRule="auto"/>
        <w:jc w:val="left"/>
        <w:rPr>
          <w:rFonts w:eastAsia="Times New Roman"/>
          <w:kern w:val="0"/>
          <w:sz w:val="24"/>
          <w:szCs w:val="24"/>
          <w:lang w:val="zh-CN"/>
        </w:rPr>
      </w:pPr>
      <w:r>
        <w:rPr>
          <w:rFonts w:eastAsia="Times New Roman"/>
          <w:kern w:val="0"/>
          <w:sz w:val="24"/>
          <w:szCs w:val="24"/>
          <w:lang w:val="zh-CN"/>
        </w:rPr>
        <w:t xml:space="preserve">    1</w:t>
      </w:r>
      <w:r>
        <w:rPr>
          <w:rFonts w:ascii="宋体" w:hAnsi="宋体" w:cs="宋体" w:hint="eastAsia"/>
          <w:kern w:val="0"/>
          <w:sz w:val="24"/>
          <w:szCs w:val="24"/>
          <w:lang w:val="zh-CN"/>
        </w:rPr>
        <w:t>、公司于</w:t>
      </w:r>
      <w:r>
        <w:rPr>
          <w:rFonts w:eastAsia="Times New Roman"/>
          <w:kern w:val="0"/>
          <w:sz w:val="24"/>
          <w:szCs w:val="24"/>
          <w:lang w:val="zh-CN"/>
        </w:rPr>
        <w:t>2014</w:t>
      </w:r>
      <w:r>
        <w:rPr>
          <w:rFonts w:ascii="宋体" w:hAnsi="宋体" w:cs="宋体" w:hint="eastAsia"/>
          <w:kern w:val="0"/>
          <w:sz w:val="24"/>
          <w:szCs w:val="24"/>
          <w:lang w:val="zh-CN"/>
        </w:rPr>
        <w:t>年</w:t>
      </w:r>
      <w:r>
        <w:rPr>
          <w:rFonts w:eastAsia="Times New Roman"/>
          <w:kern w:val="0"/>
          <w:sz w:val="24"/>
          <w:szCs w:val="24"/>
          <w:lang w:val="zh-CN"/>
        </w:rPr>
        <w:t>5</w:t>
      </w:r>
      <w:r>
        <w:rPr>
          <w:rFonts w:ascii="宋体" w:hAnsi="宋体" w:cs="宋体" w:hint="eastAsia"/>
          <w:kern w:val="0"/>
          <w:sz w:val="24"/>
          <w:szCs w:val="24"/>
          <w:lang w:val="zh-CN"/>
        </w:rPr>
        <w:t>月</w:t>
      </w:r>
      <w:r>
        <w:rPr>
          <w:rFonts w:eastAsia="Times New Roman"/>
          <w:kern w:val="0"/>
          <w:sz w:val="24"/>
          <w:szCs w:val="24"/>
          <w:lang w:val="zh-CN"/>
        </w:rPr>
        <w:t>7</w:t>
      </w:r>
      <w:r>
        <w:rPr>
          <w:rFonts w:ascii="宋体" w:hAnsi="宋体" w:cs="宋体" w:hint="eastAsia"/>
          <w:kern w:val="0"/>
          <w:sz w:val="24"/>
          <w:szCs w:val="24"/>
          <w:lang w:val="zh-CN"/>
        </w:rPr>
        <w:t>日召开的第四届董事会第二十一次临时会议审议通过了《关于公司</w:t>
      </w:r>
      <w:r>
        <w:rPr>
          <w:rFonts w:ascii="宋体" w:hAnsi="宋体" w:cs="宋体" w:hint="eastAsia"/>
          <w:kern w:val="0"/>
          <w:sz w:val="24"/>
          <w:szCs w:val="24"/>
          <w:lang w:val="zh-CN"/>
        </w:rPr>
        <w:lastRenderedPageBreak/>
        <w:t>本次非公开发行</w:t>
      </w:r>
      <w:r>
        <w:rPr>
          <w:rFonts w:eastAsia="Times New Roman"/>
          <w:kern w:val="0"/>
          <w:sz w:val="24"/>
          <w:szCs w:val="24"/>
          <w:lang w:val="zh-CN"/>
        </w:rPr>
        <w:t>A</w:t>
      </w:r>
      <w:r>
        <w:rPr>
          <w:rFonts w:ascii="宋体" w:hAnsi="宋体" w:cs="宋体" w:hint="eastAsia"/>
          <w:kern w:val="0"/>
          <w:sz w:val="24"/>
          <w:szCs w:val="24"/>
          <w:lang w:val="zh-CN"/>
        </w:rPr>
        <w:t>股股票方案的议案》，拟向四个特定对象非公开发行的股票</w:t>
      </w:r>
      <w:r>
        <w:rPr>
          <w:rFonts w:eastAsia="Times New Roman"/>
          <w:kern w:val="0"/>
          <w:sz w:val="24"/>
          <w:szCs w:val="24"/>
          <w:lang w:val="zh-CN"/>
        </w:rPr>
        <w:t>53,082,190</w:t>
      </w:r>
      <w:r>
        <w:rPr>
          <w:rFonts w:ascii="宋体" w:hAnsi="宋体" w:cs="宋体" w:hint="eastAsia"/>
          <w:kern w:val="0"/>
          <w:sz w:val="24"/>
          <w:szCs w:val="24"/>
          <w:lang w:val="zh-CN"/>
        </w:rPr>
        <w:t>股，发行价格为</w:t>
      </w:r>
      <w:r>
        <w:rPr>
          <w:rFonts w:eastAsia="Times New Roman"/>
          <w:kern w:val="0"/>
          <w:sz w:val="24"/>
          <w:szCs w:val="24"/>
          <w:lang w:val="zh-CN"/>
        </w:rPr>
        <w:t>11.68</w:t>
      </w:r>
      <w:r>
        <w:rPr>
          <w:rFonts w:ascii="宋体" w:hAnsi="宋体" w:cs="宋体" w:hint="eastAsia"/>
          <w:kern w:val="0"/>
          <w:sz w:val="24"/>
          <w:szCs w:val="24"/>
          <w:lang w:val="zh-CN"/>
        </w:rPr>
        <w:t>元</w:t>
      </w:r>
      <w:r>
        <w:rPr>
          <w:rFonts w:eastAsia="Times New Roman"/>
          <w:kern w:val="0"/>
          <w:sz w:val="24"/>
          <w:szCs w:val="24"/>
          <w:lang w:val="zh-CN"/>
        </w:rPr>
        <w:t>/</w:t>
      </w:r>
      <w:r>
        <w:rPr>
          <w:rFonts w:ascii="宋体" w:hAnsi="宋体" w:cs="宋体" w:hint="eastAsia"/>
          <w:kern w:val="0"/>
          <w:sz w:val="24"/>
          <w:szCs w:val="24"/>
          <w:lang w:val="zh-CN"/>
        </w:rPr>
        <w:t>股，募集资金总额不超过</w:t>
      </w:r>
      <w:r>
        <w:rPr>
          <w:rFonts w:eastAsia="Times New Roman"/>
          <w:kern w:val="0"/>
          <w:sz w:val="24"/>
          <w:szCs w:val="24"/>
          <w:lang w:val="zh-CN"/>
        </w:rPr>
        <w:t>62,000</w:t>
      </w:r>
      <w:r>
        <w:rPr>
          <w:rFonts w:ascii="宋体" w:hAnsi="宋体" w:cs="宋体" w:hint="eastAsia"/>
          <w:kern w:val="0"/>
          <w:sz w:val="24"/>
          <w:szCs w:val="24"/>
          <w:lang w:val="zh-CN"/>
        </w:rPr>
        <w:t>万元，所募集资金扣除发行费用后，拟用于以下项目的投资：</w:t>
      </w:r>
    </w:p>
    <w:tbl>
      <w:tblPr>
        <w:tblW w:w="0" w:type="auto"/>
        <w:tblInd w:w="10" w:type="dxa"/>
        <w:tblBorders>
          <w:top w:val="single" w:sz="8" w:space="0" w:color="auto"/>
          <w:left w:val="single" w:sz="8" w:space="0" w:color="auto"/>
          <w:bottom w:val="single" w:sz="12" w:space="0" w:color="auto"/>
          <w:right w:val="single" w:sz="12" w:space="0" w:color="auto"/>
          <w:insideH w:val="single" w:sz="8" w:space="0" w:color="auto"/>
          <w:insideV w:val="single" w:sz="8" w:space="0" w:color="auto"/>
        </w:tblBorders>
        <w:tblLayout w:type="fixed"/>
        <w:tblCellMar>
          <w:top w:w="10" w:type="dxa"/>
          <w:left w:w="10" w:type="dxa"/>
          <w:bottom w:w="10" w:type="dxa"/>
          <w:right w:w="10" w:type="dxa"/>
        </w:tblCellMar>
        <w:tblLook w:val="0000" w:firstRow="0" w:lastRow="0" w:firstColumn="0" w:lastColumn="0" w:noHBand="0" w:noVBand="0"/>
      </w:tblPr>
      <w:tblGrid>
        <w:gridCol w:w="3463"/>
        <w:gridCol w:w="2652"/>
        <w:gridCol w:w="2407"/>
      </w:tblGrid>
      <w:tr w:rsidR="00931774">
        <w:tc>
          <w:tcPr>
            <w:tcW w:w="3463"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center"/>
              <w:rPr>
                <w:rFonts w:eastAsia="Times New Roman"/>
                <w:kern w:val="0"/>
                <w:sz w:val="24"/>
                <w:szCs w:val="24"/>
                <w:lang w:val="zh-CN"/>
              </w:rPr>
            </w:pPr>
            <w:r>
              <w:rPr>
                <w:rFonts w:ascii="宋体" w:hAnsi="宋体" w:cs="宋体" w:hint="eastAsia"/>
                <w:kern w:val="0"/>
                <w:sz w:val="24"/>
                <w:szCs w:val="24"/>
                <w:lang w:val="zh-CN"/>
              </w:rPr>
              <w:t>项目名称</w:t>
            </w:r>
          </w:p>
        </w:tc>
        <w:tc>
          <w:tcPr>
            <w:tcW w:w="2652"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center"/>
              <w:rPr>
                <w:rFonts w:eastAsia="Times New Roman"/>
                <w:kern w:val="0"/>
                <w:sz w:val="24"/>
                <w:szCs w:val="24"/>
                <w:lang w:val="zh-CN"/>
              </w:rPr>
            </w:pPr>
            <w:r>
              <w:rPr>
                <w:rFonts w:ascii="宋体" w:hAnsi="宋体" w:cs="宋体" w:hint="eastAsia"/>
                <w:kern w:val="0"/>
                <w:sz w:val="24"/>
                <w:szCs w:val="24"/>
                <w:lang w:val="zh-CN"/>
              </w:rPr>
              <w:t>投资总额</w:t>
            </w:r>
          </w:p>
        </w:tc>
        <w:tc>
          <w:tcPr>
            <w:tcW w:w="2407" w:type="dxa"/>
            <w:tcBorders>
              <w:bottom w:val="single" w:sz="12" w:space="0" w:color="auto"/>
            </w:tcBorders>
          </w:tcPr>
          <w:p w:rsidR="00931774" w:rsidRDefault="00931774" w:rsidP="00F3005F">
            <w:pPr>
              <w:autoSpaceDE w:val="0"/>
              <w:autoSpaceDN w:val="0"/>
              <w:adjustRightInd w:val="0"/>
              <w:spacing w:before="0" w:after="0" w:line="360" w:lineRule="auto"/>
              <w:jc w:val="center"/>
              <w:rPr>
                <w:rFonts w:eastAsia="Times New Roman"/>
                <w:kern w:val="0"/>
                <w:sz w:val="24"/>
                <w:szCs w:val="24"/>
                <w:lang w:val="zh-CN"/>
              </w:rPr>
            </w:pPr>
            <w:r>
              <w:rPr>
                <w:rFonts w:ascii="宋体" w:hAnsi="宋体" w:cs="宋体" w:hint="eastAsia"/>
                <w:kern w:val="0"/>
                <w:sz w:val="24"/>
                <w:szCs w:val="24"/>
                <w:lang w:val="zh-CN"/>
              </w:rPr>
              <w:t>募集资金投入总额</w:t>
            </w:r>
          </w:p>
        </w:tc>
      </w:tr>
      <w:tr w:rsidR="00931774">
        <w:tc>
          <w:tcPr>
            <w:tcW w:w="3463"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rPr>
                <w:rFonts w:eastAsia="Times New Roman"/>
                <w:kern w:val="0"/>
                <w:sz w:val="24"/>
                <w:szCs w:val="24"/>
                <w:lang w:val="zh-CN"/>
              </w:rPr>
            </w:pPr>
            <w:r>
              <w:rPr>
                <w:rFonts w:ascii="宋体" w:hAnsi="宋体" w:cs="宋体" w:hint="eastAsia"/>
                <w:kern w:val="0"/>
                <w:sz w:val="24"/>
                <w:szCs w:val="24"/>
                <w:lang w:val="zh-CN"/>
              </w:rPr>
              <w:t>收购营口新山鹰</w:t>
            </w:r>
            <w:r>
              <w:rPr>
                <w:rFonts w:eastAsia="Times New Roman"/>
                <w:kern w:val="0"/>
                <w:sz w:val="24"/>
                <w:szCs w:val="24"/>
                <w:lang w:val="zh-CN"/>
              </w:rPr>
              <w:t>80%</w:t>
            </w:r>
            <w:r>
              <w:rPr>
                <w:rFonts w:ascii="宋体" w:hAnsi="宋体" w:cs="宋体" w:hint="eastAsia"/>
                <w:kern w:val="0"/>
                <w:sz w:val="24"/>
                <w:szCs w:val="24"/>
                <w:lang w:val="zh-CN"/>
              </w:rPr>
              <w:t>股权</w:t>
            </w:r>
          </w:p>
        </w:tc>
        <w:tc>
          <w:tcPr>
            <w:tcW w:w="2652"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52,000</w:t>
            </w:r>
            <w:r>
              <w:rPr>
                <w:rFonts w:ascii="宋体" w:hAnsi="宋体" w:cs="宋体" w:hint="eastAsia"/>
                <w:kern w:val="0"/>
                <w:sz w:val="24"/>
                <w:szCs w:val="24"/>
                <w:lang w:val="zh-CN"/>
              </w:rPr>
              <w:t>万元</w:t>
            </w:r>
          </w:p>
        </w:tc>
        <w:tc>
          <w:tcPr>
            <w:tcW w:w="2407" w:type="dxa"/>
            <w:tcBorders>
              <w:bottom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52,000</w:t>
            </w:r>
            <w:r>
              <w:rPr>
                <w:rFonts w:ascii="宋体" w:hAnsi="宋体" w:cs="宋体" w:hint="eastAsia"/>
                <w:kern w:val="0"/>
                <w:sz w:val="24"/>
                <w:szCs w:val="24"/>
                <w:lang w:val="zh-CN"/>
              </w:rPr>
              <w:t>万元</w:t>
            </w:r>
          </w:p>
        </w:tc>
      </w:tr>
      <w:tr w:rsidR="00931774">
        <w:tc>
          <w:tcPr>
            <w:tcW w:w="3463"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rPr>
                <w:rFonts w:eastAsia="Times New Roman"/>
                <w:kern w:val="0"/>
                <w:sz w:val="24"/>
                <w:szCs w:val="24"/>
                <w:lang w:val="zh-CN"/>
              </w:rPr>
            </w:pPr>
            <w:r>
              <w:rPr>
                <w:rFonts w:ascii="宋体" w:hAnsi="宋体" w:cs="宋体" w:hint="eastAsia"/>
                <w:kern w:val="0"/>
                <w:sz w:val="24"/>
                <w:szCs w:val="24"/>
                <w:lang w:val="zh-CN"/>
              </w:rPr>
              <w:t>补充流动资金</w:t>
            </w:r>
          </w:p>
        </w:tc>
        <w:tc>
          <w:tcPr>
            <w:tcW w:w="2652"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w:t>
            </w:r>
          </w:p>
        </w:tc>
        <w:tc>
          <w:tcPr>
            <w:tcW w:w="2407" w:type="dxa"/>
            <w:tcBorders>
              <w:bottom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7,500</w:t>
            </w:r>
            <w:r>
              <w:rPr>
                <w:rFonts w:ascii="宋体" w:hAnsi="宋体" w:cs="宋体" w:hint="eastAsia"/>
                <w:kern w:val="0"/>
                <w:sz w:val="24"/>
                <w:szCs w:val="24"/>
                <w:lang w:val="zh-CN"/>
              </w:rPr>
              <w:t>万元</w:t>
            </w:r>
          </w:p>
        </w:tc>
      </w:tr>
      <w:tr w:rsidR="00931774">
        <w:tc>
          <w:tcPr>
            <w:tcW w:w="3463"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center"/>
              <w:rPr>
                <w:rFonts w:eastAsia="Times New Roman"/>
                <w:kern w:val="0"/>
                <w:sz w:val="24"/>
                <w:szCs w:val="24"/>
                <w:lang w:val="zh-CN"/>
              </w:rPr>
            </w:pPr>
            <w:r>
              <w:rPr>
                <w:rFonts w:ascii="宋体" w:hAnsi="宋体" w:cs="宋体" w:hint="eastAsia"/>
                <w:kern w:val="0"/>
                <w:sz w:val="24"/>
                <w:szCs w:val="24"/>
                <w:lang w:val="zh-CN"/>
              </w:rPr>
              <w:t>合计</w:t>
            </w:r>
          </w:p>
        </w:tc>
        <w:tc>
          <w:tcPr>
            <w:tcW w:w="2652" w:type="dxa"/>
            <w:tcBorders>
              <w:bottom w:val="single" w:sz="12" w:space="0" w:color="auto"/>
              <w:right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w:t>
            </w:r>
          </w:p>
        </w:tc>
        <w:tc>
          <w:tcPr>
            <w:tcW w:w="2407" w:type="dxa"/>
            <w:tcBorders>
              <w:bottom w:val="single" w:sz="12" w:space="0" w:color="auto"/>
            </w:tcBorders>
          </w:tcPr>
          <w:p w:rsidR="00931774" w:rsidRDefault="00931774" w:rsidP="00F3005F">
            <w:pPr>
              <w:autoSpaceDE w:val="0"/>
              <w:autoSpaceDN w:val="0"/>
              <w:adjustRightInd w:val="0"/>
              <w:spacing w:before="0" w:after="0" w:line="360" w:lineRule="auto"/>
              <w:jc w:val="right"/>
              <w:rPr>
                <w:rFonts w:eastAsia="Times New Roman"/>
                <w:kern w:val="0"/>
                <w:sz w:val="24"/>
                <w:szCs w:val="24"/>
                <w:lang w:val="zh-CN"/>
              </w:rPr>
            </w:pPr>
            <w:r>
              <w:rPr>
                <w:rFonts w:eastAsia="Times New Roman"/>
                <w:kern w:val="0"/>
                <w:sz w:val="24"/>
                <w:szCs w:val="24"/>
                <w:lang w:val="zh-CN"/>
              </w:rPr>
              <w:t>59,500</w:t>
            </w:r>
            <w:r>
              <w:rPr>
                <w:rFonts w:ascii="宋体" w:hAnsi="宋体" w:cs="宋体" w:hint="eastAsia"/>
                <w:kern w:val="0"/>
                <w:sz w:val="24"/>
                <w:szCs w:val="24"/>
                <w:lang w:val="zh-CN"/>
              </w:rPr>
              <w:t>万元</w:t>
            </w:r>
          </w:p>
        </w:tc>
      </w:tr>
    </w:tbl>
    <w:p w:rsidR="00931774" w:rsidRPr="0042544D" w:rsidRDefault="00931774" w:rsidP="00F3005F">
      <w:pPr>
        <w:autoSpaceDE w:val="0"/>
        <w:autoSpaceDN w:val="0"/>
        <w:adjustRightInd w:val="0"/>
        <w:spacing w:before="0" w:after="0" w:line="360" w:lineRule="auto"/>
        <w:jc w:val="left"/>
        <w:rPr>
          <w:rFonts w:eastAsia="Times New Roman"/>
          <w:kern w:val="0"/>
          <w:sz w:val="24"/>
          <w:szCs w:val="24"/>
        </w:rPr>
      </w:pPr>
      <w:r w:rsidRPr="0042544D">
        <w:rPr>
          <w:rFonts w:eastAsia="Times New Roman"/>
          <w:kern w:val="0"/>
          <w:sz w:val="24"/>
          <w:szCs w:val="24"/>
        </w:rPr>
        <w:t xml:space="preserve">    </w:t>
      </w:r>
      <w:r>
        <w:rPr>
          <w:rFonts w:ascii="宋体" w:hAnsi="宋体" w:cs="宋体" w:hint="eastAsia"/>
          <w:kern w:val="0"/>
          <w:sz w:val="24"/>
          <w:szCs w:val="24"/>
          <w:lang w:val="zh-CN"/>
        </w:rPr>
        <w:t>具体内容详见</w:t>
      </w:r>
      <w:r w:rsidRPr="0042544D">
        <w:rPr>
          <w:rFonts w:eastAsia="Times New Roman"/>
          <w:kern w:val="0"/>
          <w:sz w:val="24"/>
          <w:szCs w:val="24"/>
        </w:rPr>
        <w:t>2014</w:t>
      </w:r>
      <w:r>
        <w:rPr>
          <w:rFonts w:ascii="宋体" w:hAnsi="宋体" w:cs="宋体" w:hint="eastAsia"/>
          <w:kern w:val="0"/>
          <w:sz w:val="24"/>
          <w:szCs w:val="24"/>
          <w:lang w:val="zh-CN"/>
        </w:rPr>
        <w:t>年</w:t>
      </w:r>
      <w:r w:rsidRPr="0042544D">
        <w:rPr>
          <w:rFonts w:eastAsia="Times New Roman"/>
          <w:kern w:val="0"/>
          <w:sz w:val="24"/>
          <w:szCs w:val="24"/>
        </w:rPr>
        <w:t>5</w:t>
      </w:r>
      <w:r>
        <w:rPr>
          <w:rFonts w:ascii="宋体" w:hAnsi="宋体" w:cs="宋体" w:hint="eastAsia"/>
          <w:kern w:val="0"/>
          <w:sz w:val="24"/>
          <w:szCs w:val="24"/>
          <w:lang w:val="zh-CN"/>
        </w:rPr>
        <w:t>月</w:t>
      </w:r>
      <w:r w:rsidRPr="0042544D">
        <w:rPr>
          <w:rFonts w:eastAsia="Times New Roman"/>
          <w:kern w:val="0"/>
          <w:sz w:val="24"/>
          <w:szCs w:val="24"/>
        </w:rPr>
        <w:t>8</w:t>
      </w:r>
      <w:r>
        <w:rPr>
          <w:rFonts w:ascii="宋体" w:hAnsi="宋体" w:cs="宋体" w:hint="eastAsia"/>
          <w:kern w:val="0"/>
          <w:sz w:val="24"/>
          <w:szCs w:val="24"/>
          <w:lang w:val="zh-CN"/>
        </w:rPr>
        <w:t>日刊登在巨潮资讯网</w:t>
      </w:r>
      <w:r w:rsidRPr="0042544D">
        <w:rPr>
          <w:rFonts w:ascii="宋体" w:hAnsi="宋体" w:cs="宋体" w:hint="eastAsia"/>
          <w:kern w:val="0"/>
          <w:sz w:val="24"/>
          <w:szCs w:val="24"/>
        </w:rPr>
        <w:t>（</w:t>
      </w:r>
      <w:hyperlink r:id="rId10" w:history="1">
        <w:r w:rsidRPr="0042544D">
          <w:rPr>
            <w:rFonts w:eastAsia="Times New Roman"/>
            <w:color w:val="0000FF"/>
            <w:kern w:val="0"/>
            <w:sz w:val="24"/>
            <w:szCs w:val="24"/>
            <w:u w:val="single"/>
          </w:rPr>
          <w:t>http://www.cninfo.com.cn</w:t>
        </w:r>
      </w:hyperlink>
      <w:r w:rsidRPr="0042544D">
        <w:rPr>
          <w:rFonts w:ascii="宋体" w:hAnsi="宋体" w:cs="宋体" w:hint="eastAsia"/>
          <w:kern w:val="0"/>
          <w:sz w:val="24"/>
          <w:szCs w:val="24"/>
        </w:rPr>
        <w:t>）</w:t>
      </w:r>
      <w:r>
        <w:rPr>
          <w:rFonts w:ascii="宋体" w:hAnsi="宋体" w:cs="宋体" w:hint="eastAsia"/>
          <w:kern w:val="0"/>
          <w:sz w:val="24"/>
          <w:szCs w:val="24"/>
          <w:lang w:val="zh-CN"/>
        </w:rPr>
        <w:t>上的《威海广泰空港设备股份有限公司</w:t>
      </w:r>
      <w:r w:rsidRPr="0042544D">
        <w:rPr>
          <w:rFonts w:eastAsia="Times New Roman"/>
          <w:kern w:val="0"/>
          <w:sz w:val="24"/>
          <w:szCs w:val="24"/>
        </w:rPr>
        <w:t>2014</w:t>
      </w:r>
      <w:r>
        <w:rPr>
          <w:rFonts w:ascii="宋体" w:hAnsi="宋体" w:cs="宋体" w:hint="eastAsia"/>
          <w:kern w:val="0"/>
          <w:sz w:val="24"/>
          <w:szCs w:val="24"/>
          <w:lang w:val="zh-CN"/>
        </w:rPr>
        <w:t>年度非公开发行</w:t>
      </w:r>
      <w:r w:rsidRPr="0042544D">
        <w:rPr>
          <w:rFonts w:eastAsia="Times New Roman"/>
          <w:kern w:val="0"/>
          <w:sz w:val="24"/>
          <w:szCs w:val="24"/>
        </w:rPr>
        <w:t>A</w:t>
      </w:r>
      <w:r>
        <w:rPr>
          <w:rFonts w:ascii="宋体" w:hAnsi="宋体" w:cs="宋体" w:hint="eastAsia"/>
          <w:kern w:val="0"/>
          <w:sz w:val="24"/>
          <w:szCs w:val="24"/>
          <w:lang w:val="zh-CN"/>
        </w:rPr>
        <w:t>股股票预案》。</w:t>
      </w:r>
    </w:p>
    <w:p w:rsidR="00931774" w:rsidRDefault="00931774" w:rsidP="00F3005F">
      <w:pPr>
        <w:autoSpaceDE w:val="0"/>
        <w:autoSpaceDN w:val="0"/>
        <w:adjustRightInd w:val="0"/>
        <w:spacing w:before="0" w:after="0" w:line="360" w:lineRule="auto"/>
        <w:jc w:val="left"/>
        <w:rPr>
          <w:rFonts w:eastAsia="Times New Roman"/>
          <w:kern w:val="0"/>
          <w:sz w:val="24"/>
          <w:szCs w:val="24"/>
          <w:lang w:val="zh-CN"/>
        </w:rPr>
      </w:pPr>
      <w:r w:rsidRPr="0042544D">
        <w:rPr>
          <w:rFonts w:eastAsia="Times New Roman"/>
          <w:kern w:val="0"/>
          <w:sz w:val="24"/>
          <w:szCs w:val="24"/>
        </w:rPr>
        <w:t xml:space="preserve">    </w:t>
      </w:r>
      <w:r>
        <w:rPr>
          <w:rFonts w:eastAsia="Times New Roman"/>
          <w:kern w:val="0"/>
          <w:sz w:val="24"/>
          <w:szCs w:val="24"/>
          <w:lang w:val="zh-CN"/>
        </w:rPr>
        <w:t>2</w:t>
      </w:r>
      <w:r>
        <w:rPr>
          <w:rFonts w:ascii="宋体" w:hAnsi="宋体" w:cs="宋体" w:hint="eastAsia"/>
          <w:kern w:val="0"/>
          <w:sz w:val="24"/>
          <w:szCs w:val="24"/>
          <w:lang w:val="zh-CN"/>
        </w:rPr>
        <w:t>、鉴于公司实施了</w:t>
      </w:r>
      <w:r>
        <w:rPr>
          <w:rFonts w:eastAsia="Times New Roman"/>
          <w:kern w:val="0"/>
          <w:sz w:val="24"/>
          <w:szCs w:val="24"/>
          <w:lang w:val="zh-CN"/>
        </w:rPr>
        <w:t>2013</w:t>
      </w:r>
      <w:r>
        <w:rPr>
          <w:rFonts w:ascii="宋体" w:hAnsi="宋体" w:cs="宋体" w:hint="eastAsia"/>
          <w:kern w:val="0"/>
          <w:sz w:val="24"/>
          <w:szCs w:val="24"/>
          <w:lang w:val="zh-CN"/>
        </w:rPr>
        <w:t>年度权益分派，根据公司非公开发行股票方案的规定，现对本次非公开发行股票的发行价格和发行数量作如下调整：</w:t>
      </w:r>
    </w:p>
    <w:p w:rsidR="00931774" w:rsidRDefault="00931774" w:rsidP="00F3005F">
      <w:pPr>
        <w:autoSpaceDE w:val="0"/>
        <w:autoSpaceDN w:val="0"/>
        <w:adjustRightInd w:val="0"/>
        <w:spacing w:before="0" w:after="0" w:line="360" w:lineRule="auto"/>
        <w:jc w:val="left"/>
        <w:rPr>
          <w:rFonts w:eastAsia="Times New Roman"/>
          <w:kern w:val="0"/>
          <w:sz w:val="24"/>
          <w:szCs w:val="24"/>
          <w:lang w:val="zh-CN"/>
        </w:rPr>
      </w:pPr>
      <w:r>
        <w:rPr>
          <w:rFonts w:eastAsia="Times New Roman"/>
          <w:kern w:val="0"/>
          <w:sz w:val="24"/>
          <w:szCs w:val="24"/>
          <w:lang w:val="zh-CN"/>
        </w:rPr>
        <w:t xml:space="preserve">    </w:t>
      </w:r>
      <w:r>
        <w:rPr>
          <w:rFonts w:ascii="宋体" w:hAnsi="宋体" w:cs="宋体" w:hint="eastAsia"/>
          <w:kern w:val="0"/>
          <w:sz w:val="24"/>
          <w:szCs w:val="24"/>
          <w:lang w:val="zh-CN"/>
        </w:rPr>
        <w:t>（</w:t>
      </w:r>
      <w:r>
        <w:rPr>
          <w:rFonts w:eastAsia="Times New Roman"/>
          <w:kern w:val="0"/>
          <w:sz w:val="24"/>
          <w:szCs w:val="24"/>
          <w:lang w:val="zh-CN"/>
        </w:rPr>
        <w:t>1</w:t>
      </w:r>
      <w:r>
        <w:rPr>
          <w:rFonts w:ascii="宋体" w:hAnsi="宋体" w:cs="宋体" w:hint="eastAsia"/>
          <w:kern w:val="0"/>
          <w:sz w:val="24"/>
          <w:szCs w:val="24"/>
          <w:lang w:val="zh-CN"/>
        </w:rPr>
        <w:t>）本次非公开发行股票发行价格由</w:t>
      </w:r>
      <w:r>
        <w:rPr>
          <w:rFonts w:eastAsia="Times New Roman"/>
          <w:kern w:val="0"/>
          <w:sz w:val="24"/>
          <w:szCs w:val="24"/>
          <w:lang w:val="zh-CN"/>
        </w:rPr>
        <w:t>11.68</w:t>
      </w:r>
      <w:r>
        <w:rPr>
          <w:rFonts w:ascii="宋体" w:hAnsi="宋体" w:cs="宋体" w:hint="eastAsia"/>
          <w:kern w:val="0"/>
          <w:sz w:val="24"/>
          <w:szCs w:val="24"/>
          <w:lang w:val="zh-CN"/>
        </w:rPr>
        <w:t>元</w:t>
      </w:r>
      <w:r>
        <w:rPr>
          <w:rFonts w:eastAsia="Times New Roman"/>
          <w:kern w:val="0"/>
          <w:sz w:val="24"/>
          <w:szCs w:val="24"/>
          <w:lang w:val="zh-CN"/>
        </w:rPr>
        <w:t>/</w:t>
      </w:r>
      <w:r>
        <w:rPr>
          <w:rFonts w:ascii="宋体" w:hAnsi="宋体" w:cs="宋体" w:hint="eastAsia"/>
          <w:kern w:val="0"/>
          <w:sz w:val="24"/>
          <w:szCs w:val="24"/>
          <w:lang w:val="zh-CN"/>
        </w:rPr>
        <w:t>股调整为</w:t>
      </w:r>
      <w:r>
        <w:rPr>
          <w:rFonts w:eastAsia="Times New Roman"/>
          <w:kern w:val="0"/>
          <w:sz w:val="24"/>
          <w:szCs w:val="24"/>
          <w:lang w:val="zh-CN"/>
        </w:rPr>
        <w:t>11.60</w:t>
      </w:r>
      <w:r>
        <w:rPr>
          <w:rFonts w:ascii="宋体" w:hAnsi="宋体" w:cs="宋体" w:hint="eastAsia"/>
          <w:kern w:val="0"/>
          <w:sz w:val="24"/>
          <w:szCs w:val="24"/>
          <w:lang w:val="zh-CN"/>
        </w:rPr>
        <w:t>元</w:t>
      </w:r>
      <w:r>
        <w:rPr>
          <w:rFonts w:eastAsia="Times New Roman"/>
          <w:kern w:val="0"/>
          <w:sz w:val="24"/>
          <w:szCs w:val="24"/>
          <w:lang w:val="zh-CN"/>
        </w:rPr>
        <w:t>/</w:t>
      </w:r>
      <w:r>
        <w:rPr>
          <w:rFonts w:ascii="宋体" w:hAnsi="宋体" w:cs="宋体" w:hint="eastAsia"/>
          <w:kern w:val="0"/>
          <w:sz w:val="24"/>
          <w:szCs w:val="24"/>
          <w:lang w:val="zh-CN"/>
        </w:rPr>
        <w:t>股；</w:t>
      </w:r>
    </w:p>
    <w:p w:rsidR="00931774" w:rsidRDefault="00931774" w:rsidP="00F3005F">
      <w:pPr>
        <w:autoSpaceDE w:val="0"/>
        <w:autoSpaceDN w:val="0"/>
        <w:adjustRightInd w:val="0"/>
        <w:spacing w:before="0" w:after="0" w:line="360" w:lineRule="auto"/>
        <w:jc w:val="left"/>
        <w:rPr>
          <w:rFonts w:eastAsia="Times New Roman"/>
          <w:kern w:val="0"/>
          <w:sz w:val="24"/>
          <w:szCs w:val="24"/>
          <w:lang w:val="zh-CN"/>
        </w:rPr>
      </w:pPr>
      <w:r>
        <w:rPr>
          <w:rFonts w:eastAsia="Times New Roman"/>
          <w:kern w:val="0"/>
          <w:sz w:val="24"/>
          <w:szCs w:val="24"/>
          <w:lang w:val="zh-CN"/>
        </w:rPr>
        <w:t xml:space="preserve">    </w:t>
      </w:r>
      <w:r>
        <w:rPr>
          <w:rFonts w:ascii="宋体" w:hAnsi="宋体" w:cs="宋体" w:hint="eastAsia"/>
          <w:kern w:val="0"/>
          <w:sz w:val="24"/>
          <w:szCs w:val="24"/>
          <w:lang w:val="zh-CN"/>
        </w:rPr>
        <w:t>（</w:t>
      </w:r>
      <w:r>
        <w:rPr>
          <w:rFonts w:eastAsia="Times New Roman"/>
          <w:kern w:val="0"/>
          <w:sz w:val="24"/>
          <w:szCs w:val="24"/>
          <w:lang w:val="zh-CN"/>
        </w:rPr>
        <w:t>2</w:t>
      </w:r>
      <w:r>
        <w:rPr>
          <w:rFonts w:ascii="宋体" w:hAnsi="宋体" w:cs="宋体" w:hint="eastAsia"/>
          <w:kern w:val="0"/>
          <w:sz w:val="24"/>
          <w:szCs w:val="24"/>
          <w:lang w:val="zh-CN"/>
        </w:rPr>
        <w:t>）发行数量的调整</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713"/>
        <w:gridCol w:w="4227"/>
        <w:gridCol w:w="1890"/>
        <w:gridCol w:w="1889"/>
      </w:tblGrid>
      <w:tr w:rsidR="00931774">
        <w:tc>
          <w:tcPr>
            <w:tcW w:w="713" w:type="dxa"/>
          </w:tcPr>
          <w:p w:rsidR="00931774" w:rsidRDefault="00931774" w:rsidP="00F3005F">
            <w:pPr>
              <w:autoSpaceDE w:val="0"/>
              <w:autoSpaceDN w:val="0"/>
              <w:adjustRightInd w:val="0"/>
              <w:spacing w:before="36" w:after="36" w:line="360" w:lineRule="auto"/>
              <w:jc w:val="center"/>
              <w:rPr>
                <w:rFonts w:eastAsia="Times New Roman"/>
                <w:b/>
                <w:kern w:val="0"/>
                <w:sz w:val="21"/>
                <w:szCs w:val="24"/>
                <w:lang w:val="zh-CN"/>
              </w:rPr>
            </w:pPr>
            <w:r>
              <w:rPr>
                <w:rFonts w:ascii="宋体" w:hAnsi="宋体" w:cs="宋体" w:hint="eastAsia"/>
                <w:b/>
                <w:kern w:val="0"/>
                <w:sz w:val="21"/>
                <w:szCs w:val="24"/>
                <w:lang w:val="zh-CN"/>
              </w:rPr>
              <w:t>序号</w:t>
            </w:r>
          </w:p>
        </w:tc>
        <w:tc>
          <w:tcPr>
            <w:tcW w:w="4227" w:type="dxa"/>
          </w:tcPr>
          <w:p w:rsidR="00931774" w:rsidRDefault="00931774" w:rsidP="00F3005F">
            <w:pPr>
              <w:autoSpaceDE w:val="0"/>
              <w:autoSpaceDN w:val="0"/>
              <w:adjustRightInd w:val="0"/>
              <w:spacing w:before="36" w:after="36" w:line="360" w:lineRule="auto"/>
              <w:jc w:val="center"/>
              <w:rPr>
                <w:rFonts w:eastAsia="Times New Roman"/>
                <w:b/>
                <w:kern w:val="0"/>
                <w:sz w:val="21"/>
                <w:szCs w:val="24"/>
                <w:lang w:val="zh-CN"/>
              </w:rPr>
            </w:pPr>
            <w:r>
              <w:rPr>
                <w:rFonts w:ascii="宋体" w:hAnsi="宋体" w:cs="宋体" w:hint="eastAsia"/>
                <w:b/>
                <w:kern w:val="0"/>
                <w:sz w:val="21"/>
                <w:szCs w:val="24"/>
                <w:lang w:val="zh-CN"/>
              </w:rPr>
              <w:t>发行对象</w:t>
            </w:r>
          </w:p>
        </w:tc>
        <w:tc>
          <w:tcPr>
            <w:tcW w:w="1890" w:type="dxa"/>
          </w:tcPr>
          <w:p w:rsidR="00931774" w:rsidRDefault="00931774" w:rsidP="00F3005F">
            <w:pPr>
              <w:autoSpaceDE w:val="0"/>
              <w:autoSpaceDN w:val="0"/>
              <w:adjustRightInd w:val="0"/>
              <w:spacing w:before="36" w:after="36" w:line="360" w:lineRule="auto"/>
              <w:jc w:val="center"/>
              <w:rPr>
                <w:rFonts w:eastAsia="Times New Roman"/>
                <w:b/>
                <w:kern w:val="0"/>
                <w:sz w:val="21"/>
                <w:szCs w:val="24"/>
                <w:lang w:val="zh-CN"/>
              </w:rPr>
            </w:pPr>
            <w:r>
              <w:rPr>
                <w:rFonts w:ascii="宋体" w:hAnsi="宋体" w:cs="宋体" w:hint="eastAsia"/>
                <w:b/>
                <w:kern w:val="0"/>
                <w:sz w:val="21"/>
                <w:szCs w:val="24"/>
                <w:lang w:val="zh-CN"/>
              </w:rPr>
              <w:t>认购股票（股）</w:t>
            </w:r>
          </w:p>
        </w:tc>
        <w:tc>
          <w:tcPr>
            <w:tcW w:w="1889" w:type="dxa"/>
          </w:tcPr>
          <w:p w:rsidR="00931774" w:rsidRDefault="00931774" w:rsidP="00F3005F">
            <w:pPr>
              <w:autoSpaceDE w:val="0"/>
              <w:autoSpaceDN w:val="0"/>
              <w:adjustRightInd w:val="0"/>
              <w:spacing w:before="36" w:after="36" w:line="360" w:lineRule="auto"/>
              <w:jc w:val="center"/>
              <w:rPr>
                <w:rFonts w:eastAsia="Times New Roman"/>
                <w:b/>
                <w:kern w:val="0"/>
                <w:sz w:val="21"/>
                <w:szCs w:val="24"/>
                <w:lang w:val="zh-CN"/>
              </w:rPr>
            </w:pPr>
            <w:r>
              <w:rPr>
                <w:rFonts w:ascii="宋体" w:hAnsi="宋体" w:cs="宋体" w:hint="eastAsia"/>
                <w:b/>
                <w:kern w:val="0"/>
                <w:sz w:val="21"/>
                <w:szCs w:val="24"/>
                <w:lang w:val="zh-CN"/>
              </w:rPr>
              <w:t>认购金额（元）</w:t>
            </w:r>
          </w:p>
        </w:tc>
      </w:tr>
      <w:tr w:rsidR="00931774">
        <w:tc>
          <w:tcPr>
            <w:tcW w:w="713" w:type="dxa"/>
          </w:tcPr>
          <w:p w:rsidR="00931774" w:rsidRDefault="00931774" w:rsidP="00F3005F">
            <w:pPr>
              <w:autoSpaceDE w:val="0"/>
              <w:autoSpaceDN w:val="0"/>
              <w:adjustRightInd w:val="0"/>
              <w:spacing w:before="36" w:after="36" w:line="360" w:lineRule="auto"/>
              <w:jc w:val="center"/>
              <w:rPr>
                <w:rFonts w:eastAsia="Times New Roman"/>
                <w:kern w:val="0"/>
                <w:sz w:val="21"/>
                <w:szCs w:val="24"/>
                <w:lang w:val="zh-CN"/>
              </w:rPr>
            </w:pPr>
            <w:r>
              <w:rPr>
                <w:rFonts w:eastAsia="Times New Roman"/>
                <w:kern w:val="0"/>
                <w:sz w:val="21"/>
                <w:szCs w:val="24"/>
                <w:lang w:val="zh-CN"/>
              </w:rPr>
              <w:t>1</w:t>
            </w:r>
          </w:p>
        </w:tc>
        <w:tc>
          <w:tcPr>
            <w:tcW w:w="4227" w:type="dxa"/>
          </w:tcPr>
          <w:p w:rsidR="00931774" w:rsidRDefault="00931774" w:rsidP="00F3005F">
            <w:pPr>
              <w:autoSpaceDE w:val="0"/>
              <w:autoSpaceDN w:val="0"/>
              <w:adjustRightInd w:val="0"/>
              <w:spacing w:before="36" w:after="36" w:line="360" w:lineRule="auto"/>
              <w:rPr>
                <w:rFonts w:eastAsia="Times New Roman"/>
                <w:kern w:val="0"/>
                <w:sz w:val="21"/>
                <w:szCs w:val="24"/>
                <w:lang w:val="zh-CN"/>
              </w:rPr>
            </w:pPr>
            <w:r>
              <w:rPr>
                <w:rFonts w:ascii="宋体" w:hAnsi="宋体" w:cs="宋体" w:hint="eastAsia"/>
                <w:kern w:val="0"/>
                <w:sz w:val="21"/>
                <w:szCs w:val="24"/>
                <w:lang w:val="zh-CN"/>
              </w:rPr>
              <w:t>范晓东</w:t>
            </w:r>
          </w:p>
        </w:tc>
        <w:tc>
          <w:tcPr>
            <w:tcW w:w="1890"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13,793,103 </w:t>
            </w:r>
          </w:p>
        </w:tc>
        <w:tc>
          <w:tcPr>
            <w:tcW w:w="1889"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159,999,994.80 </w:t>
            </w:r>
          </w:p>
        </w:tc>
      </w:tr>
      <w:tr w:rsidR="00931774">
        <w:tc>
          <w:tcPr>
            <w:tcW w:w="713" w:type="dxa"/>
          </w:tcPr>
          <w:p w:rsidR="00931774" w:rsidRDefault="00931774" w:rsidP="00F3005F">
            <w:pPr>
              <w:autoSpaceDE w:val="0"/>
              <w:autoSpaceDN w:val="0"/>
              <w:adjustRightInd w:val="0"/>
              <w:spacing w:before="36" w:after="36" w:line="360" w:lineRule="auto"/>
              <w:jc w:val="center"/>
              <w:rPr>
                <w:rFonts w:eastAsia="Times New Roman"/>
                <w:kern w:val="0"/>
                <w:sz w:val="21"/>
                <w:szCs w:val="24"/>
                <w:lang w:val="zh-CN"/>
              </w:rPr>
            </w:pPr>
            <w:r>
              <w:rPr>
                <w:rFonts w:eastAsia="Times New Roman"/>
                <w:kern w:val="0"/>
                <w:sz w:val="21"/>
                <w:szCs w:val="24"/>
                <w:lang w:val="zh-CN"/>
              </w:rPr>
              <w:t>2</w:t>
            </w:r>
          </w:p>
        </w:tc>
        <w:tc>
          <w:tcPr>
            <w:tcW w:w="4227" w:type="dxa"/>
          </w:tcPr>
          <w:p w:rsidR="00931774" w:rsidRDefault="00931774" w:rsidP="00F3005F">
            <w:pPr>
              <w:autoSpaceDE w:val="0"/>
              <w:autoSpaceDN w:val="0"/>
              <w:adjustRightInd w:val="0"/>
              <w:spacing w:before="36" w:after="36" w:line="360" w:lineRule="auto"/>
              <w:rPr>
                <w:rFonts w:eastAsia="Times New Roman"/>
                <w:kern w:val="0"/>
                <w:sz w:val="21"/>
                <w:szCs w:val="24"/>
                <w:lang w:val="zh-CN"/>
              </w:rPr>
            </w:pPr>
            <w:r>
              <w:rPr>
                <w:rFonts w:ascii="宋体" w:hAnsi="宋体" w:cs="宋体" w:hint="eastAsia"/>
                <w:kern w:val="0"/>
                <w:sz w:val="21"/>
                <w:szCs w:val="24"/>
                <w:lang w:val="zh-CN"/>
              </w:rPr>
              <w:t>杨森</w:t>
            </w:r>
          </w:p>
        </w:tc>
        <w:tc>
          <w:tcPr>
            <w:tcW w:w="1890"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13,793,103 </w:t>
            </w:r>
          </w:p>
        </w:tc>
        <w:tc>
          <w:tcPr>
            <w:tcW w:w="1889"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159,999,994.80 </w:t>
            </w:r>
          </w:p>
        </w:tc>
      </w:tr>
      <w:tr w:rsidR="00931774">
        <w:tc>
          <w:tcPr>
            <w:tcW w:w="713" w:type="dxa"/>
          </w:tcPr>
          <w:p w:rsidR="00931774" w:rsidRDefault="00931774" w:rsidP="00F3005F">
            <w:pPr>
              <w:autoSpaceDE w:val="0"/>
              <w:autoSpaceDN w:val="0"/>
              <w:adjustRightInd w:val="0"/>
              <w:spacing w:before="36" w:after="36" w:line="360" w:lineRule="auto"/>
              <w:jc w:val="center"/>
              <w:rPr>
                <w:rFonts w:eastAsia="Times New Roman"/>
                <w:kern w:val="0"/>
                <w:sz w:val="21"/>
                <w:szCs w:val="24"/>
                <w:lang w:val="zh-CN"/>
              </w:rPr>
            </w:pPr>
            <w:r>
              <w:rPr>
                <w:rFonts w:eastAsia="Times New Roman"/>
                <w:kern w:val="0"/>
                <w:sz w:val="21"/>
                <w:szCs w:val="24"/>
                <w:lang w:val="zh-CN"/>
              </w:rPr>
              <w:t>3</w:t>
            </w:r>
          </w:p>
        </w:tc>
        <w:tc>
          <w:tcPr>
            <w:tcW w:w="4227" w:type="dxa"/>
          </w:tcPr>
          <w:p w:rsidR="00931774" w:rsidRDefault="00931774" w:rsidP="00F3005F">
            <w:pPr>
              <w:autoSpaceDE w:val="0"/>
              <w:autoSpaceDN w:val="0"/>
              <w:adjustRightInd w:val="0"/>
              <w:spacing w:before="36" w:after="36" w:line="360" w:lineRule="auto"/>
              <w:rPr>
                <w:rFonts w:eastAsia="Times New Roman"/>
                <w:kern w:val="0"/>
                <w:sz w:val="21"/>
                <w:szCs w:val="24"/>
                <w:lang w:val="zh-CN"/>
              </w:rPr>
            </w:pPr>
            <w:r>
              <w:rPr>
                <w:rFonts w:ascii="宋体" w:hAnsi="宋体" w:cs="宋体" w:hint="eastAsia"/>
                <w:kern w:val="0"/>
                <w:sz w:val="21"/>
                <w:szCs w:val="24"/>
                <w:lang w:val="zh-CN"/>
              </w:rPr>
              <w:t>新疆广泰空港股权投资有限合伙企业</w:t>
            </w:r>
          </w:p>
        </w:tc>
        <w:tc>
          <w:tcPr>
            <w:tcW w:w="1890" w:type="dxa"/>
          </w:tcPr>
          <w:p w:rsidR="00931774" w:rsidRDefault="00931774" w:rsidP="00F3005F">
            <w:pPr>
              <w:autoSpaceDE w:val="0"/>
              <w:autoSpaceDN w:val="0"/>
              <w:adjustRightInd w:val="0"/>
              <w:spacing w:before="36" w:after="36" w:line="360" w:lineRule="auto"/>
              <w:jc w:val="right"/>
              <w:rPr>
                <w:rFonts w:eastAsia="Times New Roman"/>
                <w:kern w:val="0"/>
                <w:sz w:val="21"/>
                <w:szCs w:val="24"/>
                <w:lang w:val="zh-CN"/>
              </w:rPr>
            </w:pPr>
            <w:r>
              <w:rPr>
                <w:rFonts w:eastAsia="Times New Roman"/>
                <w:kern w:val="0"/>
                <w:sz w:val="21"/>
                <w:szCs w:val="24"/>
                <w:lang w:val="zh-CN"/>
              </w:rPr>
              <w:t>11,206,896</w:t>
            </w:r>
          </w:p>
        </w:tc>
        <w:tc>
          <w:tcPr>
            <w:tcW w:w="1889"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129,999,993.60 </w:t>
            </w:r>
          </w:p>
        </w:tc>
      </w:tr>
      <w:tr w:rsidR="00931774">
        <w:tc>
          <w:tcPr>
            <w:tcW w:w="713" w:type="dxa"/>
          </w:tcPr>
          <w:p w:rsidR="00931774" w:rsidRDefault="00931774" w:rsidP="00F3005F">
            <w:pPr>
              <w:autoSpaceDE w:val="0"/>
              <w:autoSpaceDN w:val="0"/>
              <w:adjustRightInd w:val="0"/>
              <w:spacing w:before="36" w:after="36" w:line="360" w:lineRule="auto"/>
              <w:jc w:val="center"/>
              <w:rPr>
                <w:rFonts w:eastAsia="Times New Roman"/>
                <w:kern w:val="0"/>
                <w:sz w:val="21"/>
                <w:szCs w:val="24"/>
                <w:lang w:val="zh-CN"/>
              </w:rPr>
            </w:pPr>
            <w:r>
              <w:rPr>
                <w:rFonts w:eastAsia="Times New Roman"/>
                <w:kern w:val="0"/>
                <w:sz w:val="21"/>
                <w:szCs w:val="24"/>
                <w:lang w:val="zh-CN"/>
              </w:rPr>
              <w:t>4</w:t>
            </w:r>
          </w:p>
        </w:tc>
        <w:tc>
          <w:tcPr>
            <w:tcW w:w="4227" w:type="dxa"/>
          </w:tcPr>
          <w:p w:rsidR="00931774" w:rsidRDefault="00931774" w:rsidP="00F3005F">
            <w:pPr>
              <w:autoSpaceDE w:val="0"/>
              <w:autoSpaceDN w:val="0"/>
              <w:adjustRightInd w:val="0"/>
              <w:spacing w:before="36" w:after="36" w:line="360" w:lineRule="auto"/>
              <w:rPr>
                <w:rFonts w:eastAsia="Times New Roman"/>
                <w:kern w:val="0"/>
                <w:sz w:val="21"/>
                <w:szCs w:val="24"/>
                <w:lang w:val="zh-CN"/>
              </w:rPr>
            </w:pPr>
            <w:r>
              <w:rPr>
                <w:rFonts w:ascii="宋体" w:hAnsi="宋体" w:cs="宋体" w:hint="eastAsia"/>
                <w:kern w:val="0"/>
                <w:sz w:val="21"/>
                <w:szCs w:val="24"/>
                <w:lang w:val="zh-CN"/>
              </w:rPr>
              <w:t>重庆信三威投资咨询中心（有限合伙）</w:t>
            </w:r>
          </w:p>
        </w:tc>
        <w:tc>
          <w:tcPr>
            <w:tcW w:w="1890" w:type="dxa"/>
          </w:tcPr>
          <w:p w:rsidR="00931774" w:rsidRDefault="00931774" w:rsidP="00F3005F">
            <w:pPr>
              <w:autoSpaceDE w:val="0"/>
              <w:autoSpaceDN w:val="0"/>
              <w:adjustRightInd w:val="0"/>
              <w:spacing w:before="36" w:after="36" w:line="360" w:lineRule="auto"/>
              <w:jc w:val="right"/>
              <w:rPr>
                <w:rFonts w:eastAsia="Times New Roman"/>
                <w:kern w:val="0"/>
                <w:sz w:val="21"/>
                <w:szCs w:val="24"/>
                <w:lang w:val="zh-CN"/>
              </w:rPr>
            </w:pPr>
            <w:r>
              <w:rPr>
                <w:rFonts w:eastAsia="Times New Roman"/>
                <w:kern w:val="0"/>
                <w:sz w:val="21"/>
                <w:szCs w:val="24"/>
                <w:lang w:val="zh-CN"/>
              </w:rPr>
              <w:t>14,655,172</w:t>
            </w:r>
          </w:p>
        </w:tc>
        <w:tc>
          <w:tcPr>
            <w:tcW w:w="1889" w:type="dxa"/>
          </w:tcPr>
          <w:p w:rsidR="00931774" w:rsidRDefault="00931774" w:rsidP="00F3005F">
            <w:pPr>
              <w:autoSpaceDE w:val="0"/>
              <w:autoSpaceDN w:val="0"/>
              <w:adjustRightInd w:val="0"/>
              <w:spacing w:before="15" w:after="15" w:line="360" w:lineRule="auto"/>
              <w:jc w:val="right"/>
              <w:rPr>
                <w:rFonts w:eastAsia="Times New Roman"/>
                <w:kern w:val="0"/>
                <w:sz w:val="21"/>
                <w:szCs w:val="24"/>
                <w:lang w:val="zh-CN"/>
              </w:rPr>
            </w:pPr>
            <w:r>
              <w:rPr>
                <w:rFonts w:eastAsia="Times New Roman"/>
                <w:kern w:val="0"/>
                <w:sz w:val="21"/>
                <w:szCs w:val="24"/>
                <w:lang w:val="zh-CN"/>
              </w:rPr>
              <w:t xml:space="preserve">169,999,995.20 </w:t>
            </w:r>
          </w:p>
        </w:tc>
      </w:tr>
      <w:tr w:rsidR="00931774">
        <w:tc>
          <w:tcPr>
            <w:tcW w:w="4940" w:type="dxa"/>
            <w:gridSpan w:val="2"/>
          </w:tcPr>
          <w:p w:rsidR="00931774" w:rsidRDefault="00931774" w:rsidP="00F3005F">
            <w:pPr>
              <w:autoSpaceDE w:val="0"/>
              <w:autoSpaceDN w:val="0"/>
              <w:adjustRightInd w:val="0"/>
              <w:spacing w:before="36" w:after="36" w:line="360" w:lineRule="auto"/>
              <w:jc w:val="center"/>
              <w:rPr>
                <w:rFonts w:eastAsia="Times New Roman"/>
                <w:b/>
                <w:kern w:val="0"/>
                <w:sz w:val="21"/>
                <w:szCs w:val="24"/>
                <w:lang w:val="zh-CN"/>
              </w:rPr>
            </w:pPr>
            <w:r>
              <w:rPr>
                <w:rFonts w:ascii="宋体" w:hAnsi="宋体" w:cs="宋体" w:hint="eastAsia"/>
                <w:b/>
                <w:kern w:val="0"/>
                <w:sz w:val="21"/>
                <w:szCs w:val="24"/>
                <w:lang w:val="zh-CN"/>
              </w:rPr>
              <w:t>合计</w:t>
            </w:r>
          </w:p>
        </w:tc>
        <w:tc>
          <w:tcPr>
            <w:tcW w:w="1890" w:type="dxa"/>
          </w:tcPr>
          <w:p w:rsidR="00931774" w:rsidRDefault="00931774" w:rsidP="00F3005F">
            <w:pPr>
              <w:autoSpaceDE w:val="0"/>
              <w:autoSpaceDN w:val="0"/>
              <w:adjustRightInd w:val="0"/>
              <w:spacing w:before="15" w:after="15" w:line="360" w:lineRule="auto"/>
              <w:jc w:val="right"/>
              <w:rPr>
                <w:rFonts w:eastAsia="Times New Roman"/>
                <w:b/>
                <w:kern w:val="0"/>
                <w:sz w:val="21"/>
                <w:szCs w:val="24"/>
                <w:lang w:val="zh-CN"/>
              </w:rPr>
            </w:pPr>
            <w:r>
              <w:rPr>
                <w:rFonts w:eastAsia="Times New Roman"/>
                <w:b/>
                <w:kern w:val="0"/>
                <w:sz w:val="21"/>
                <w:szCs w:val="24"/>
                <w:lang w:val="zh-CN"/>
              </w:rPr>
              <w:t>53,448,274</w:t>
            </w:r>
          </w:p>
        </w:tc>
        <w:tc>
          <w:tcPr>
            <w:tcW w:w="1889" w:type="dxa"/>
          </w:tcPr>
          <w:p w:rsidR="00931774" w:rsidRDefault="00931774" w:rsidP="00F3005F">
            <w:pPr>
              <w:autoSpaceDE w:val="0"/>
              <w:autoSpaceDN w:val="0"/>
              <w:adjustRightInd w:val="0"/>
              <w:spacing w:before="15" w:after="15" w:line="360" w:lineRule="auto"/>
              <w:jc w:val="right"/>
              <w:rPr>
                <w:rFonts w:eastAsia="Times New Roman"/>
                <w:b/>
                <w:kern w:val="0"/>
                <w:sz w:val="21"/>
                <w:szCs w:val="24"/>
                <w:lang w:val="zh-CN"/>
              </w:rPr>
            </w:pPr>
            <w:r>
              <w:rPr>
                <w:rFonts w:eastAsia="Times New Roman"/>
                <w:b/>
                <w:kern w:val="0"/>
                <w:sz w:val="21"/>
                <w:szCs w:val="24"/>
                <w:lang w:val="zh-CN"/>
              </w:rPr>
              <w:t xml:space="preserve">619,999,978.40 </w:t>
            </w:r>
          </w:p>
        </w:tc>
      </w:tr>
    </w:tbl>
    <w:p w:rsidR="00931774" w:rsidRPr="0042544D" w:rsidRDefault="00931774" w:rsidP="00F3005F">
      <w:pPr>
        <w:autoSpaceDE w:val="0"/>
        <w:autoSpaceDN w:val="0"/>
        <w:adjustRightInd w:val="0"/>
        <w:spacing w:before="0" w:after="0" w:line="360" w:lineRule="auto"/>
        <w:jc w:val="left"/>
        <w:rPr>
          <w:rFonts w:eastAsia="Times New Roman"/>
          <w:kern w:val="0"/>
          <w:sz w:val="24"/>
          <w:szCs w:val="24"/>
        </w:rPr>
      </w:pPr>
      <w:r w:rsidRPr="0042544D">
        <w:rPr>
          <w:rFonts w:eastAsia="Times New Roman"/>
          <w:kern w:val="0"/>
          <w:sz w:val="24"/>
          <w:szCs w:val="24"/>
        </w:rPr>
        <w:t xml:space="preserve">    </w:t>
      </w:r>
      <w:r>
        <w:rPr>
          <w:rFonts w:ascii="宋体" w:hAnsi="宋体" w:cs="宋体" w:hint="eastAsia"/>
          <w:kern w:val="0"/>
          <w:sz w:val="24"/>
          <w:szCs w:val="24"/>
          <w:lang w:val="zh-CN"/>
        </w:rPr>
        <w:t>具体内容详见</w:t>
      </w:r>
      <w:r w:rsidRPr="0042544D">
        <w:rPr>
          <w:rFonts w:eastAsia="Times New Roman"/>
          <w:kern w:val="0"/>
          <w:sz w:val="24"/>
          <w:szCs w:val="24"/>
        </w:rPr>
        <w:t>2014</w:t>
      </w:r>
      <w:r>
        <w:rPr>
          <w:rFonts w:ascii="宋体" w:hAnsi="宋体" w:cs="宋体" w:hint="eastAsia"/>
          <w:kern w:val="0"/>
          <w:sz w:val="24"/>
          <w:szCs w:val="24"/>
          <w:lang w:val="zh-CN"/>
        </w:rPr>
        <w:t>年</w:t>
      </w:r>
      <w:r w:rsidRPr="0042544D">
        <w:rPr>
          <w:rFonts w:eastAsia="Times New Roman"/>
          <w:kern w:val="0"/>
          <w:sz w:val="24"/>
          <w:szCs w:val="24"/>
        </w:rPr>
        <w:t>7</w:t>
      </w:r>
      <w:r>
        <w:rPr>
          <w:rFonts w:ascii="宋体" w:hAnsi="宋体" w:cs="宋体" w:hint="eastAsia"/>
          <w:kern w:val="0"/>
          <w:sz w:val="24"/>
          <w:szCs w:val="24"/>
          <w:lang w:val="zh-CN"/>
        </w:rPr>
        <w:t>月</w:t>
      </w:r>
      <w:r w:rsidRPr="0042544D">
        <w:rPr>
          <w:rFonts w:eastAsia="Times New Roman"/>
          <w:kern w:val="0"/>
          <w:sz w:val="24"/>
          <w:szCs w:val="24"/>
        </w:rPr>
        <w:t>8</w:t>
      </w:r>
      <w:r>
        <w:rPr>
          <w:rFonts w:ascii="宋体" w:hAnsi="宋体" w:cs="宋体" w:hint="eastAsia"/>
          <w:kern w:val="0"/>
          <w:sz w:val="24"/>
          <w:szCs w:val="24"/>
          <w:lang w:val="zh-CN"/>
        </w:rPr>
        <w:t>日刊登在巨潮资讯网</w:t>
      </w:r>
      <w:r w:rsidRPr="0042544D">
        <w:rPr>
          <w:rFonts w:ascii="宋体" w:hAnsi="宋体" w:cs="宋体" w:hint="eastAsia"/>
          <w:kern w:val="0"/>
          <w:sz w:val="24"/>
          <w:szCs w:val="24"/>
        </w:rPr>
        <w:t>（</w:t>
      </w:r>
      <w:hyperlink r:id="rId11" w:history="1">
        <w:r w:rsidRPr="0042544D">
          <w:rPr>
            <w:rFonts w:eastAsia="Times New Roman"/>
            <w:color w:val="0000FF"/>
            <w:kern w:val="0"/>
            <w:sz w:val="24"/>
            <w:szCs w:val="24"/>
            <w:u w:val="single"/>
          </w:rPr>
          <w:t>http://www.cninfo.com.cn</w:t>
        </w:r>
      </w:hyperlink>
      <w:r w:rsidRPr="0042544D">
        <w:rPr>
          <w:rFonts w:ascii="宋体" w:hAnsi="宋体" w:cs="宋体" w:hint="eastAsia"/>
          <w:kern w:val="0"/>
          <w:sz w:val="24"/>
          <w:szCs w:val="24"/>
        </w:rPr>
        <w:t>）</w:t>
      </w:r>
      <w:r>
        <w:rPr>
          <w:rFonts w:ascii="宋体" w:hAnsi="宋体" w:cs="宋体" w:hint="eastAsia"/>
          <w:kern w:val="0"/>
          <w:sz w:val="24"/>
          <w:szCs w:val="24"/>
          <w:lang w:val="zh-CN"/>
        </w:rPr>
        <w:t>上的《威海广泰空港设备股份有限公司关于实施</w:t>
      </w:r>
      <w:r w:rsidRPr="0042544D">
        <w:rPr>
          <w:rFonts w:eastAsia="Times New Roman"/>
          <w:kern w:val="0"/>
          <w:sz w:val="24"/>
          <w:szCs w:val="24"/>
        </w:rPr>
        <w:t>2013</w:t>
      </w:r>
      <w:r>
        <w:rPr>
          <w:rFonts w:ascii="宋体" w:hAnsi="宋体" w:cs="宋体" w:hint="eastAsia"/>
          <w:kern w:val="0"/>
          <w:sz w:val="24"/>
          <w:szCs w:val="24"/>
          <w:lang w:val="zh-CN"/>
        </w:rPr>
        <w:t>年度权益分派方案后调整非公开发行股票发行价格和发行数量的的公告》</w:t>
      </w:r>
      <w:r w:rsidRPr="0042544D">
        <w:rPr>
          <w:rFonts w:ascii="宋体" w:hAnsi="宋体" w:cs="宋体" w:hint="eastAsia"/>
          <w:kern w:val="0"/>
          <w:sz w:val="24"/>
          <w:szCs w:val="24"/>
        </w:rPr>
        <w:t>（</w:t>
      </w:r>
      <w:r>
        <w:rPr>
          <w:rFonts w:ascii="宋体" w:hAnsi="宋体" w:cs="宋体" w:hint="eastAsia"/>
          <w:kern w:val="0"/>
          <w:sz w:val="24"/>
          <w:szCs w:val="24"/>
          <w:lang w:val="zh-CN"/>
        </w:rPr>
        <w:t>公告编号</w:t>
      </w:r>
      <w:r w:rsidRPr="0042544D">
        <w:rPr>
          <w:rFonts w:ascii="宋体" w:hAnsi="宋体" w:cs="宋体" w:hint="eastAsia"/>
          <w:kern w:val="0"/>
          <w:sz w:val="24"/>
          <w:szCs w:val="24"/>
        </w:rPr>
        <w:t>：</w:t>
      </w:r>
      <w:r w:rsidRPr="0042544D">
        <w:rPr>
          <w:rFonts w:eastAsia="Times New Roman"/>
          <w:kern w:val="0"/>
          <w:sz w:val="24"/>
          <w:szCs w:val="24"/>
        </w:rPr>
        <w:t>2014-058</w:t>
      </w:r>
      <w:r w:rsidRPr="0042544D">
        <w:rPr>
          <w:rFonts w:ascii="宋体" w:hAnsi="宋体" w:cs="宋体" w:hint="eastAsia"/>
          <w:kern w:val="0"/>
          <w:sz w:val="24"/>
          <w:szCs w:val="24"/>
        </w:rPr>
        <w:t>）</w:t>
      </w:r>
      <w:r>
        <w:rPr>
          <w:rFonts w:ascii="宋体" w:hAnsi="宋体" w:cs="宋体" w:hint="eastAsia"/>
          <w:kern w:val="0"/>
          <w:sz w:val="24"/>
          <w:szCs w:val="24"/>
          <w:lang w:val="zh-CN"/>
        </w:rPr>
        <w:t>。</w:t>
      </w:r>
    </w:p>
    <w:p w:rsidR="00931774" w:rsidRDefault="00931774" w:rsidP="00F3005F">
      <w:pPr>
        <w:autoSpaceDE w:val="0"/>
        <w:autoSpaceDN w:val="0"/>
        <w:adjustRightInd w:val="0"/>
        <w:spacing w:before="0" w:after="0" w:line="360" w:lineRule="auto"/>
        <w:jc w:val="left"/>
        <w:rPr>
          <w:rFonts w:eastAsia="Times New Roman"/>
          <w:kern w:val="0"/>
          <w:sz w:val="24"/>
          <w:szCs w:val="24"/>
          <w:lang w:val="zh-CN"/>
        </w:rPr>
      </w:pPr>
      <w:r w:rsidRPr="0042544D">
        <w:rPr>
          <w:rFonts w:eastAsia="Times New Roman"/>
          <w:kern w:val="0"/>
          <w:sz w:val="24"/>
          <w:szCs w:val="24"/>
        </w:rPr>
        <w:t xml:space="preserve">    </w:t>
      </w:r>
      <w:r>
        <w:rPr>
          <w:rFonts w:ascii="宋体" w:hAnsi="宋体" w:cs="宋体" w:hint="eastAsia"/>
          <w:kern w:val="0"/>
          <w:sz w:val="24"/>
          <w:szCs w:val="24"/>
          <w:lang w:val="zh-CN"/>
        </w:rPr>
        <w:t>目前该事项尚处于证监会审批中。</w:t>
      </w:r>
    </w:p>
    <w:tbl>
      <w:tblPr>
        <w:tblW w:w="0" w:type="auto"/>
        <w:tblInd w:w="28" w:type="dxa"/>
        <w:tblLayout w:type="fixed"/>
        <w:tblCellMar>
          <w:left w:w="28" w:type="dxa"/>
          <w:right w:w="28" w:type="dxa"/>
        </w:tblCellMar>
        <w:tblLook w:val="0000" w:firstRow="0" w:lastRow="0" w:firstColumn="0" w:lastColumn="0" w:noHBand="0" w:noVBand="0"/>
      </w:tblPr>
      <w:tblGrid>
        <w:gridCol w:w="3146"/>
        <w:gridCol w:w="3148"/>
        <w:gridCol w:w="3274"/>
      </w:tblGrid>
      <w:tr w:rsidR="00931774">
        <w:tc>
          <w:tcPr>
            <w:tcW w:w="314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重要事项概述</w:t>
            </w:r>
          </w:p>
        </w:tc>
        <w:tc>
          <w:tcPr>
            <w:tcW w:w="3148"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披露日期</w:t>
            </w:r>
          </w:p>
        </w:tc>
        <w:tc>
          <w:tcPr>
            <w:tcW w:w="3274"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临时报告披露网站查询索引</w:t>
            </w:r>
          </w:p>
        </w:tc>
      </w:tr>
      <w:tr w:rsidR="00931774">
        <w:tc>
          <w:tcPr>
            <w:tcW w:w="3146" w:type="dxa"/>
            <w:vMerge w:val="restart"/>
            <w:tcBorders>
              <w:top w:val="single" w:sz="4" w:space="0" w:color="auto"/>
              <w:left w:val="single" w:sz="4" w:space="0" w:color="auto"/>
              <w:bottom w:val="single" w:sz="4" w:space="0" w:color="auto"/>
              <w:right w:val="single" w:sz="4" w:space="0" w:color="auto"/>
            </w:tcBorders>
            <w:vAlign w:val="center"/>
          </w:tcPr>
          <w:p w:rsidR="00931774" w:rsidRDefault="00931774">
            <w:pPr>
              <w:jc w:val="left"/>
              <w:rPr>
                <w:szCs w:val="24"/>
              </w:rPr>
            </w:pPr>
            <w:r>
              <w:rPr>
                <w:rFonts w:hint="eastAsia"/>
                <w:szCs w:val="24"/>
              </w:rPr>
              <w:t>关于</w:t>
            </w:r>
            <w:r>
              <w:rPr>
                <w:szCs w:val="24"/>
              </w:rPr>
              <w:t>2014</w:t>
            </w:r>
            <w:r>
              <w:rPr>
                <w:rFonts w:hint="eastAsia"/>
                <w:szCs w:val="24"/>
              </w:rPr>
              <w:t>年度非公开发行</w:t>
            </w:r>
            <w:r>
              <w:rPr>
                <w:szCs w:val="24"/>
              </w:rPr>
              <w:t>A</w:t>
            </w:r>
            <w:r>
              <w:rPr>
                <w:rFonts w:hint="eastAsia"/>
                <w:szCs w:val="24"/>
              </w:rPr>
              <w:t>股股票事项</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2014</w:t>
            </w:r>
            <w:r>
              <w:rPr>
                <w:rFonts w:hint="eastAsia"/>
                <w:szCs w:val="24"/>
              </w:rPr>
              <w:t>年</w:t>
            </w:r>
            <w:r>
              <w:rPr>
                <w:szCs w:val="24"/>
              </w:rPr>
              <w:t>05</w:t>
            </w:r>
            <w:r>
              <w:rPr>
                <w:rFonts w:hint="eastAsia"/>
                <w:szCs w:val="24"/>
              </w:rPr>
              <w:t>月</w:t>
            </w:r>
            <w:r>
              <w:rPr>
                <w:szCs w:val="24"/>
              </w:rPr>
              <w:t>08</w:t>
            </w:r>
            <w:r>
              <w:rPr>
                <w:rFonts w:hint="eastAsia"/>
                <w:szCs w:val="24"/>
              </w:rPr>
              <w:t>日</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巨潮资讯网（</w:t>
            </w:r>
            <w:r>
              <w:rPr>
                <w:szCs w:val="24"/>
              </w:rPr>
              <w:t>http://www.cninfo.com.cn</w:t>
            </w:r>
            <w:r>
              <w:rPr>
                <w:rFonts w:hint="eastAsia"/>
                <w:szCs w:val="24"/>
              </w:rPr>
              <w:t>）</w:t>
            </w:r>
          </w:p>
        </w:tc>
      </w:tr>
      <w:tr w:rsidR="00931774">
        <w:tc>
          <w:tcPr>
            <w:tcW w:w="3146"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left"/>
              <w:rPr>
                <w:szCs w:val="24"/>
              </w:rPr>
            </w:pP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2014</w:t>
            </w:r>
            <w:r>
              <w:rPr>
                <w:rFonts w:hint="eastAsia"/>
                <w:szCs w:val="24"/>
              </w:rPr>
              <w:t>年</w:t>
            </w:r>
            <w:r>
              <w:rPr>
                <w:szCs w:val="24"/>
              </w:rPr>
              <w:t>07</w:t>
            </w:r>
            <w:r>
              <w:rPr>
                <w:rFonts w:hint="eastAsia"/>
                <w:szCs w:val="24"/>
              </w:rPr>
              <w:t>月</w:t>
            </w:r>
            <w:r>
              <w:rPr>
                <w:szCs w:val="24"/>
              </w:rPr>
              <w:t>08</w:t>
            </w:r>
            <w:r>
              <w:rPr>
                <w:rFonts w:hint="eastAsia"/>
                <w:szCs w:val="24"/>
              </w:rPr>
              <w:t>日</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巨潮资讯网（</w:t>
            </w:r>
            <w:r>
              <w:rPr>
                <w:szCs w:val="24"/>
              </w:rPr>
              <w:t>http://www.cninfo.com.cn</w:t>
            </w:r>
            <w:r>
              <w:rPr>
                <w:rFonts w:hint="eastAsia"/>
                <w:szCs w:val="24"/>
              </w:rPr>
              <w:t>）</w:t>
            </w:r>
          </w:p>
        </w:tc>
      </w:tr>
      <w:tr w:rsidR="00931774">
        <w:tc>
          <w:tcPr>
            <w:tcW w:w="3146"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left"/>
              <w:rPr>
                <w:szCs w:val="24"/>
              </w:rPr>
            </w:pP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2015</w:t>
            </w:r>
            <w:r>
              <w:rPr>
                <w:rFonts w:hint="eastAsia"/>
                <w:szCs w:val="24"/>
              </w:rPr>
              <w:t>年</w:t>
            </w:r>
            <w:r>
              <w:rPr>
                <w:szCs w:val="24"/>
              </w:rPr>
              <w:t>03</w:t>
            </w:r>
            <w:r>
              <w:rPr>
                <w:rFonts w:hint="eastAsia"/>
                <w:szCs w:val="24"/>
              </w:rPr>
              <w:t>月</w:t>
            </w:r>
            <w:r>
              <w:rPr>
                <w:szCs w:val="24"/>
              </w:rPr>
              <w:t>17</w:t>
            </w:r>
            <w:r>
              <w:rPr>
                <w:rFonts w:hint="eastAsia"/>
                <w:szCs w:val="24"/>
              </w:rPr>
              <w:t>日</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巨潮资讯网（</w:t>
            </w:r>
            <w:r>
              <w:rPr>
                <w:szCs w:val="24"/>
              </w:rPr>
              <w:t>http://www.cninfo.com.cn</w:t>
            </w:r>
            <w:r>
              <w:rPr>
                <w:rFonts w:hint="eastAsia"/>
                <w:szCs w:val="24"/>
              </w:rPr>
              <w:t>）</w:t>
            </w:r>
          </w:p>
        </w:tc>
      </w:tr>
      <w:tr w:rsidR="00931774">
        <w:tc>
          <w:tcPr>
            <w:tcW w:w="3146"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left"/>
              <w:rPr>
                <w:szCs w:val="24"/>
              </w:rPr>
            </w:pP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2015</w:t>
            </w:r>
            <w:r>
              <w:rPr>
                <w:rFonts w:hint="eastAsia"/>
                <w:szCs w:val="24"/>
              </w:rPr>
              <w:t>年</w:t>
            </w:r>
            <w:r>
              <w:rPr>
                <w:szCs w:val="24"/>
              </w:rPr>
              <w:t>04</w:t>
            </w:r>
            <w:r>
              <w:rPr>
                <w:rFonts w:hint="eastAsia"/>
                <w:szCs w:val="24"/>
              </w:rPr>
              <w:t>月</w:t>
            </w:r>
            <w:r>
              <w:rPr>
                <w:szCs w:val="24"/>
              </w:rPr>
              <w:t>22</w:t>
            </w:r>
            <w:r>
              <w:rPr>
                <w:rFonts w:hint="eastAsia"/>
                <w:szCs w:val="24"/>
              </w:rPr>
              <w:t>日</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巨潮资讯网（</w:t>
            </w:r>
            <w:r>
              <w:rPr>
                <w:szCs w:val="24"/>
              </w:rPr>
              <w:t>http://www.cninfo.com.cn</w:t>
            </w:r>
            <w:r>
              <w:rPr>
                <w:rFonts w:hint="eastAsia"/>
                <w:szCs w:val="24"/>
              </w:rPr>
              <w:t>）</w:t>
            </w:r>
          </w:p>
        </w:tc>
      </w:tr>
    </w:tbl>
    <w:p w:rsidR="00931774" w:rsidRDefault="00931774">
      <w:pPr>
        <w:pStyle w:val="Chapter"/>
        <w:outlineLvl w:val="1"/>
        <w:rPr>
          <w:bCs w:val="0"/>
        </w:rPr>
      </w:pPr>
      <w:r>
        <w:rPr>
          <w:rFonts w:hint="eastAsia"/>
          <w:bCs w:val="0"/>
        </w:rPr>
        <w:lastRenderedPageBreak/>
        <w:t>三、公司或持股</w:t>
      </w:r>
      <w:r>
        <w:rPr>
          <w:bCs w:val="0"/>
        </w:rPr>
        <w:t>5%</w:t>
      </w:r>
      <w:r>
        <w:rPr>
          <w:rFonts w:hint="eastAsia"/>
          <w:bCs w:val="0"/>
        </w:rPr>
        <w:t>以上股东在报告期内发生或以前期间发生但持续到报告期内的承诺事项</w:t>
      </w:r>
    </w:p>
    <w:p w:rsidR="00931774" w:rsidRDefault="0093177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1276"/>
        <w:gridCol w:w="851"/>
        <w:gridCol w:w="4677"/>
        <w:gridCol w:w="851"/>
        <w:gridCol w:w="518"/>
        <w:gridCol w:w="1394"/>
      </w:tblGrid>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承诺事由</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承诺方</w:t>
            </w:r>
          </w:p>
        </w:tc>
        <w:tc>
          <w:tcPr>
            <w:tcW w:w="467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承诺内容</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承诺时间</w:t>
            </w:r>
          </w:p>
        </w:tc>
        <w:tc>
          <w:tcPr>
            <w:tcW w:w="518"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承诺期限</w:t>
            </w:r>
          </w:p>
        </w:tc>
        <w:tc>
          <w:tcPr>
            <w:tcW w:w="1394"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履行情况</w:t>
            </w: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股改承诺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无</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收购报告书或权益变动报告书中所作承诺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无</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资产重组时所作承诺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无</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p>
        </w:tc>
      </w:tr>
      <w:tr w:rsidR="00931774" w:rsidTr="00F3005F">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首次公开发行或再融资时所作承诺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公司控股股东新疆广泰空港股权投资有限合伙企业在公司上市前签署了《避免同业竞争的承诺》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2007</w:t>
            </w:r>
            <w:r>
              <w:rPr>
                <w:rFonts w:hint="eastAsia"/>
                <w:szCs w:val="24"/>
              </w:rPr>
              <w:t>年</w:t>
            </w:r>
            <w:r>
              <w:rPr>
                <w:szCs w:val="24"/>
              </w:rPr>
              <w:t>01</w:t>
            </w:r>
            <w:r>
              <w:rPr>
                <w:rFonts w:hint="eastAsia"/>
                <w:szCs w:val="24"/>
              </w:rPr>
              <w:t>月</w:t>
            </w:r>
            <w:r>
              <w:rPr>
                <w:szCs w:val="24"/>
              </w:rPr>
              <w:t>26</w:t>
            </w:r>
            <w:r>
              <w:rPr>
                <w:rFonts w:hint="eastAsia"/>
                <w:szCs w:val="24"/>
              </w:rPr>
              <w:t>日</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长期</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新疆广泰空港股权投资有限合伙企业坚守承诺，报告期内未发生违背承诺的情况。</w:t>
            </w:r>
          </w:p>
        </w:tc>
      </w:tr>
      <w:tr w:rsidR="00931774" w:rsidTr="00F3005F">
        <w:tc>
          <w:tcPr>
            <w:tcW w:w="1276" w:type="dxa"/>
            <w:vMerge/>
            <w:tcBorders>
              <w:top w:val="single" w:sz="4" w:space="0" w:color="auto"/>
              <w:left w:val="single" w:sz="4" w:space="0" w:color="auto"/>
              <w:bottom w:val="single" w:sz="4" w:space="0" w:color="auto"/>
              <w:right w:val="single" w:sz="4" w:space="0" w:color="auto"/>
            </w:tcBorders>
            <w:vAlign w:val="center"/>
          </w:tcPr>
          <w:p w:rsidR="00931774" w:rsidRDefault="00931774">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本企业认购的威海广泰新增股份的限售期，即不得通过证券市场公开交易或协议方式转让的期限，为本企业认购的威海广泰股份上市之日起</w:t>
            </w:r>
            <w:r>
              <w:rPr>
                <w:szCs w:val="24"/>
              </w:rPr>
              <w:t>36</w:t>
            </w:r>
            <w:r>
              <w:rPr>
                <w:rFonts w:hint="eastAsia"/>
                <w:szCs w:val="24"/>
              </w:rPr>
              <w:t>个月。</w:t>
            </w:r>
            <w:r>
              <w:rPr>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F3005F">
            <w:pPr>
              <w:jc w:val="left"/>
              <w:rPr>
                <w:szCs w:val="24"/>
              </w:rPr>
            </w:pPr>
            <w:r w:rsidRPr="00D27B16">
              <w:rPr>
                <w:szCs w:val="24"/>
              </w:rPr>
              <w:t>2014</w:t>
            </w:r>
            <w:r w:rsidRPr="00D27B16">
              <w:rPr>
                <w:rFonts w:hint="eastAsia"/>
                <w:szCs w:val="24"/>
              </w:rPr>
              <w:t>年</w:t>
            </w:r>
            <w:r w:rsidRPr="00D27B16">
              <w:rPr>
                <w:szCs w:val="24"/>
              </w:rPr>
              <w:t>05</w:t>
            </w:r>
            <w:r w:rsidRPr="00D27B16">
              <w:rPr>
                <w:rFonts w:hint="eastAsia"/>
                <w:szCs w:val="24"/>
              </w:rPr>
              <w:t>月</w:t>
            </w:r>
            <w:r w:rsidRPr="00D27B16">
              <w:rPr>
                <w:szCs w:val="24"/>
              </w:rPr>
              <w:t>07</w:t>
            </w:r>
            <w:r w:rsidRPr="00D27B16">
              <w:rPr>
                <w:rFonts w:hint="eastAsia"/>
                <w:szCs w:val="24"/>
              </w:rPr>
              <w:t>日</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t>36</w:t>
            </w:r>
            <w:r>
              <w:rPr>
                <w:rFonts w:hint="eastAsia"/>
                <w:szCs w:val="24"/>
              </w:rPr>
              <w:t>个月</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该事项尚需证监会审批通过后执行。</w:t>
            </w: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其他对公司中小股东所作承诺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新疆广泰空港股权投资有限合伙企业、李光太</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和公司实际控制人李光太先生，针对新疆广泰空港股权投资有限合伙企业与广泰空港设备香港有限公司、威海广大空港设备维修服务有限责任公司、北京开元鸿业咨询有限公司四家公司合资组建广泰空港国际融资租赁有限公司事宜，承诺如下：一、承诺避免同业竞争：为使融资租赁公司更好地服务于威海广泰空港设备股份有限公司（以下简称</w:t>
            </w:r>
            <w:r>
              <w:rPr>
                <w:szCs w:val="24"/>
              </w:rPr>
              <w:t>"</w:t>
            </w:r>
            <w:r>
              <w:rPr>
                <w:rFonts w:hint="eastAsia"/>
                <w:szCs w:val="24"/>
              </w:rPr>
              <w:t>威海广泰</w:t>
            </w:r>
            <w:r>
              <w:rPr>
                <w:szCs w:val="24"/>
              </w:rPr>
              <w:t>"</w:t>
            </w:r>
            <w:r>
              <w:rPr>
                <w:rFonts w:hint="eastAsia"/>
                <w:szCs w:val="24"/>
              </w:rPr>
              <w:t>、</w:t>
            </w:r>
            <w:r>
              <w:rPr>
                <w:szCs w:val="24"/>
              </w:rPr>
              <w:t>"</w:t>
            </w:r>
            <w:r>
              <w:rPr>
                <w:rFonts w:hint="eastAsia"/>
                <w:szCs w:val="24"/>
              </w:rPr>
              <w:t>上市公司</w:t>
            </w:r>
            <w:r>
              <w:rPr>
                <w:szCs w:val="24"/>
              </w:rPr>
              <w:t>"</w:t>
            </w:r>
            <w:r>
              <w:rPr>
                <w:rFonts w:hint="eastAsia"/>
                <w:szCs w:val="24"/>
              </w:rPr>
              <w:t>），满足上市公司客户的新需求，扩大上市公司销售规模，提高市场占有率，增加上市公司的盈利能力；同时坚决避免融资租赁公司与上市公司出现同业竞争，郑重承诺：</w:t>
            </w:r>
            <w:r>
              <w:rPr>
                <w:szCs w:val="24"/>
              </w:rPr>
              <w:t>1</w:t>
            </w:r>
            <w:r>
              <w:rPr>
                <w:rFonts w:hint="eastAsia"/>
                <w:szCs w:val="24"/>
              </w:rPr>
              <w:t>、凡是上市公司能够生产、制造的产品，融资租赁公司只能购买上市公司的产品租赁给客户，不允许融资租赁公司从第三方购买与上市公司构成竞争的产品租赁给客户。</w:t>
            </w:r>
            <w:r>
              <w:rPr>
                <w:szCs w:val="24"/>
              </w:rPr>
              <w:t>2</w:t>
            </w:r>
            <w:r>
              <w:rPr>
                <w:rFonts w:hint="eastAsia"/>
                <w:szCs w:val="24"/>
              </w:rPr>
              <w:t>、融资租赁公司的每一笔业务，在与客户签订正式合约之前，必须经过威海广泰审核认可方可签约。对任何一笔业务，威海广泰认为该笔业务与威海广泰有同业竞争嫌疑的，威海广泰可以提出否决意见或其他任何处置意见，融资租赁公司无条件按照威海广泰提出的处置意见执行。二、承诺关联交易定价公允：为保证融资租赁公司与威海广泰之间关联交易的公平、公正、公允，郑重承诺：</w:t>
            </w:r>
            <w:r>
              <w:rPr>
                <w:szCs w:val="24"/>
              </w:rPr>
              <w:t>1</w:t>
            </w:r>
            <w:r>
              <w:rPr>
                <w:rFonts w:hint="eastAsia"/>
                <w:szCs w:val="24"/>
              </w:rPr>
              <w:t>、威海广泰销售给融资租赁公司的产品，将按照威海广泰销售给第三方的市场公允价格实施定价，并严格</w:t>
            </w:r>
            <w:r>
              <w:rPr>
                <w:rFonts w:hint="eastAsia"/>
                <w:szCs w:val="24"/>
              </w:rPr>
              <w:lastRenderedPageBreak/>
              <w:t>按照威海广泰关联交易相关程序执行；</w:t>
            </w:r>
            <w:r>
              <w:rPr>
                <w:szCs w:val="24"/>
              </w:rPr>
              <w:t>2</w:t>
            </w:r>
            <w:r>
              <w:rPr>
                <w:rFonts w:hint="eastAsia"/>
                <w:szCs w:val="24"/>
              </w:rPr>
              <w:t>、承诺将融资租赁公司纳入上市公司年度审计范围，在年度审计时，将聘请上市公司的财务审计机构对融资租赁公司与威海广泰发生的每笔关联交易都进行严格审计，确保关联交易的合法合规、公正公平。聘请财务审计机构的额外费用由融资租赁公司承担。三、承诺销售真实性：为保证威海广泰对融资租赁公司产品销售的真实性，杜绝出现上市公司对融资租赁公司虚假销售的问题，郑重承诺：</w:t>
            </w:r>
            <w:r>
              <w:rPr>
                <w:szCs w:val="24"/>
              </w:rPr>
              <w:t>1</w:t>
            </w:r>
            <w:r>
              <w:rPr>
                <w:rFonts w:hint="eastAsia"/>
                <w:szCs w:val="24"/>
              </w:rPr>
              <w:t>、融资租赁公司采购上市公司产品将严格按照与客户签订的融资租赁合同执行，客户不签订融资租赁合同，融资租赁公司将不采购上市公司的产品。</w:t>
            </w:r>
            <w:r>
              <w:rPr>
                <w:szCs w:val="24"/>
              </w:rPr>
              <w:t>2</w:t>
            </w:r>
            <w:r>
              <w:rPr>
                <w:rFonts w:hint="eastAsia"/>
                <w:szCs w:val="24"/>
              </w:rPr>
              <w:t>、在聘请上市公司的财务审计机构对融资租赁公司进行年度审计时，将融资租赁公司与上市公司的每笔销售业务进行审计，确定销售的真实性，从而严格杜绝虚假销售。四、承诺在未来上市公司通过融资租赁公司实现的销售收入达到上市公司营业收入的</w:t>
            </w:r>
            <w:r>
              <w:rPr>
                <w:szCs w:val="24"/>
              </w:rPr>
              <w:t>30%</w:t>
            </w:r>
            <w:r>
              <w:rPr>
                <w:rFonts w:hint="eastAsia"/>
                <w:szCs w:val="24"/>
              </w:rPr>
              <w:t>时，由上市公司收购新疆广泰所持有的融资租赁公司至少</w:t>
            </w:r>
            <w:r>
              <w:rPr>
                <w:szCs w:val="24"/>
              </w:rPr>
              <w:t>11%</w:t>
            </w:r>
            <w:r>
              <w:rPr>
                <w:rFonts w:hint="eastAsia"/>
                <w:szCs w:val="24"/>
              </w:rPr>
              <w:t>的股权。收购的价格将以收购时融资租赁公司的净资产为基础，聘请具有证券从业资格的会计师事务所和评估机构对融资租赁公司进行审计评估，按照审计、评估值孰低的原则最终确认收购价格。五、以上承诺内容，已经与融资租赁公司的各出资方协商确认，将体现到各出资方共同签署的《广泰空港国际融资租赁有限公司合资合同》中。</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szCs w:val="24"/>
              </w:rPr>
              <w:lastRenderedPageBreak/>
              <w:t>2012</w:t>
            </w:r>
            <w:r>
              <w:rPr>
                <w:rFonts w:hint="eastAsia"/>
                <w:szCs w:val="24"/>
              </w:rPr>
              <w:t>年</w:t>
            </w:r>
            <w:r>
              <w:rPr>
                <w:szCs w:val="24"/>
              </w:rPr>
              <w:t>08</w:t>
            </w:r>
            <w:r>
              <w:rPr>
                <w:rFonts w:hint="eastAsia"/>
                <w:szCs w:val="24"/>
              </w:rPr>
              <w:t>月</w:t>
            </w:r>
            <w:r>
              <w:rPr>
                <w:szCs w:val="24"/>
              </w:rPr>
              <w:t>27</w:t>
            </w:r>
            <w:r>
              <w:rPr>
                <w:rFonts w:hint="eastAsia"/>
                <w:szCs w:val="24"/>
              </w:rPr>
              <w:t>日</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长期</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新疆广泰空港股权投资有限合伙企业及李光太先生坚守承诺，报告期内未发生违背承诺的情况。</w:t>
            </w: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承诺是否及时履行</w:t>
            </w:r>
          </w:p>
        </w:tc>
        <w:tc>
          <w:tcPr>
            <w:tcW w:w="8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是</w:t>
            </w:r>
          </w:p>
        </w:tc>
      </w:tr>
      <w:tr w:rsidR="00931774" w:rsidTr="00F3005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未完成履行的具体原因及下一步计划（如有）</w:t>
            </w:r>
          </w:p>
        </w:tc>
        <w:tc>
          <w:tcPr>
            <w:tcW w:w="8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无</w:t>
            </w:r>
          </w:p>
        </w:tc>
      </w:tr>
    </w:tbl>
    <w:p w:rsidR="00931774" w:rsidRDefault="00931774">
      <w:pPr>
        <w:pStyle w:val="Chapter"/>
        <w:outlineLvl w:val="1"/>
        <w:rPr>
          <w:bCs w:val="0"/>
        </w:rPr>
      </w:pPr>
      <w:r>
        <w:rPr>
          <w:rFonts w:hint="eastAsia"/>
          <w:bCs w:val="0"/>
        </w:rPr>
        <w:t>四、对</w:t>
      </w:r>
      <w:r>
        <w:rPr>
          <w:bCs w:val="0"/>
        </w:rPr>
        <w:t>2015</w:t>
      </w:r>
      <w:r>
        <w:rPr>
          <w:rFonts w:hint="eastAsia"/>
          <w:bCs w:val="0"/>
        </w:rPr>
        <w:t>年</w:t>
      </w:r>
      <w:r>
        <w:rPr>
          <w:bCs w:val="0"/>
        </w:rPr>
        <w:t>1-6</w:t>
      </w:r>
      <w:r>
        <w:rPr>
          <w:rFonts w:hint="eastAsia"/>
          <w:bCs w:val="0"/>
        </w:rPr>
        <w:t>月经营业绩的预计</w:t>
      </w:r>
    </w:p>
    <w:p w:rsidR="00931774" w:rsidRDefault="00931774">
      <w:pPr>
        <w:jc w:val="left"/>
        <w:rPr>
          <w:szCs w:val="24"/>
        </w:rPr>
      </w:pPr>
      <w:r>
        <w:rPr>
          <w:szCs w:val="24"/>
        </w:rPr>
        <w:t>2015</w:t>
      </w:r>
      <w:r>
        <w:rPr>
          <w:rFonts w:hint="eastAsia"/>
          <w:szCs w:val="24"/>
        </w:rPr>
        <w:t>年</w:t>
      </w:r>
      <w:r>
        <w:rPr>
          <w:szCs w:val="24"/>
        </w:rPr>
        <w:t>1-6</w:t>
      </w:r>
      <w:r>
        <w:rPr>
          <w:rFonts w:hint="eastAsia"/>
          <w:szCs w:val="24"/>
        </w:rPr>
        <w:t>月预计的经营业绩情况：归属于上市公司股东的净利润为正值且不属于扭亏为盈的情形</w:t>
      </w:r>
    </w:p>
    <w:p w:rsidR="00931774" w:rsidRDefault="00931774">
      <w:pPr>
        <w:jc w:val="left"/>
        <w:rPr>
          <w:szCs w:val="24"/>
        </w:rPr>
      </w:pPr>
      <w:r>
        <w:rPr>
          <w:rFonts w:hint="eastAsia"/>
          <w:szCs w:val="24"/>
        </w:rPr>
        <w:t>归属于上市公司股东的净利润为正值且不属于扭亏为盈的情形</w:t>
      </w:r>
    </w:p>
    <w:tbl>
      <w:tblPr>
        <w:tblW w:w="0" w:type="auto"/>
        <w:tblInd w:w="28" w:type="dxa"/>
        <w:tblLayout w:type="fixed"/>
        <w:tblCellMar>
          <w:left w:w="28" w:type="dxa"/>
          <w:right w:w="28" w:type="dxa"/>
        </w:tblCellMar>
        <w:tblLook w:val="0000" w:firstRow="0" w:lastRow="0" w:firstColumn="0" w:lastColumn="0" w:noHBand="0" w:noVBand="0"/>
      </w:tblPr>
      <w:tblGrid>
        <w:gridCol w:w="3669"/>
        <w:gridCol w:w="2619"/>
        <w:gridCol w:w="786"/>
        <w:gridCol w:w="2494"/>
      </w:tblGrid>
      <w:tr w:rsidR="00931774">
        <w:tc>
          <w:tcPr>
            <w:tcW w:w="3669"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szCs w:val="24"/>
              </w:rPr>
              <w:t>2015</w:t>
            </w:r>
            <w:r>
              <w:rPr>
                <w:rFonts w:hint="eastAsia"/>
                <w:szCs w:val="24"/>
              </w:rPr>
              <w:t>年</w:t>
            </w:r>
            <w:r>
              <w:rPr>
                <w:szCs w:val="24"/>
              </w:rPr>
              <w:t>1-6</w:t>
            </w:r>
            <w:r>
              <w:rPr>
                <w:rFonts w:hint="eastAsia"/>
                <w:szCs w:val="24"/>
              </w:rPr>
              <w:t>月归属于上市公司股东的净利润变动幅度</w:t>
            </w:r>
          </w:p>
        </w:tc>
        <w:tc>
          <w:tcPr>
            <w:tcW w:w="2619"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10.00%</w:t>
            </w:r>
          </w:p>
        </w:tc>
        <w:tc>
          <w:tcPr>
            <w:tcW w:w="78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至</w:t>
            </w:r>
          </w:p>
        </w:tc>
        <w:tc>
          <w:tcPr>
            <w:tcW w:w="24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30.00%</w:t>
            </w:r>
          </w:p>
        </w:tc>
      </w:tr>
      <w:tr w:rsidR="00931774">
        <w:tc>
          <w:tcPr>
            <w:tcW w:w="3669"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szCs w:val="24"/>
              </w:rPr>
              <w:t>2015</w:t>
            </w:r>
            <w:r>
              <w:rPr>
                <w:rFonts w:hint="eastAsia"/>
                <w:szCs w:val="24"/>
              </w:rPr>
              <w:t>年</w:t>
            </w:r>
            <w:r>
              <w:rPr>
                <w:szCs w:val="24"/>
              </w:rPr>
              <w:t>1-6</w:t>
            </w:r>
            <w:r>
              <w:rPr>
                <w:rFonts w:hint="eastAsia"/>
                <w:szCs w:val="24"/>
              </w:rPr>
              <w:t>月归属于上市公司股东的净利润变动区间（万元）</w:t>
            </w:r>
          </w:p>
        </w:tc>
        <w:tc>
          <w:tcPr>
            <w:tcW w:w="2619"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5,293.07</w:t>
            </w:r>
          </w:p>
        </w:tc>
        <w:tc>
          <w:tcPr>
            <w:tcW w:w="786"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至</w:t>
            </w:r>
          </w:p>
        </w:tc>
        <w:tc>
          <w:tcPr>
            <w:tcW w:w="2494"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6,255.44</w:t>
            </w:r>
          </w:p>
        </w:tc>
      </w:tr>
      <w:tr w:rsidR="00931774">
        <w:tc>
          <w:tcPr>
            <w:tcW w:w="3669"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szCs w:val="24"/>
              </w:rPr>
              <w:t>2014</w:t>
            </w:r>
            <w:r>
              <w:rPr>
                <w:rFonts w:hint="eastAsia"/>
                <w:szCs w:val="24"/>
              </w:rPr>
              <w:t>年</w:t>
            </w:r>
            <w:r>
              <w:rPr>
                <w:szCs w:val="24"/>
              </w:rPr>
              <w:t>1-6</w:t>
            </w:r>
            <w:r>
              <w:rPr>
                <w:rFonts w:hint="eastAsia"/>
                <w:szCs w:val="24"/>
              </w:rPr>
              <w:t>月归属于上市公司股东的净利润（万元）</w:t>
            </w:r>
          </w:p>
        </w:tc>
        <w:tc>
          <w:tcPr>
            <w:tcW w:w="58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4,811.88</w:t>
            </w:r>
          </w:p>
        </w:tc>
      </w:tr>
      <w:tr w:rsidR="00931774">
        <w:tc>
          <w:tcPr>
            <w:tcW w:w="3669"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业绩变动的原因说明</w:t>
            </w:r>
          </w:p>
        </w:tc>
        <w:tc>
          <w:tcPr>
            <w:tcW w:w="58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left"/>
              <w:rPr>
                <w:szCs w:val="24"/>
              </w:rPr>
            </w:pPr>
            <w:r>
              <w:rPr>
                <w:rFonts w:hint="eastAsia"/>
                <w:szCs w:val="24"/>
              </w:rPr>
              <w:t>随着国内航空业的持续稳定增长，国内空港地面设备市场将稳定增长，出口业务和消防车业务将有较大增长；军品业务将有新的突破，使公司营业收入稳步增长，净利润随之增长，因此</w:t>
            </w:r>
            <w:r>
              <w:rPr>
                <w:szCs w:val="24"/>
              </w:rPr>
              <w:t>2015</w:t>
            </w:r>
            <w:r>
              <w:rPr>
                <w:rFonts w:hint="eastAsia"/>
                <w:szCs w:val="24"/>
              </w:rPr>
              <w:t>年</w:t>
            </w:r>
            <w:r>
              <w:rPr>
                <w:szCs w:val="24"/>
              </w:rPr>
              <w:t>1-6</w:t>
            </w:r>
            <w:r>
              <w:rPr>
                <w:rFonts w:hint="eastAsia"/>
                <w:szCs w:val="24"/>
              </w:rPr>
              <w:t>月经营业绩较上年同期</w:t>
            </w:r>
            <w:r>
              <w:rPr>
                <w:rFonts w:hint="eastAsia"/>
                <w:szCs w:val="24"/>
              </w:rPr>
              <w:lastRenderedPageBreak/>
              <w:t>增长。</w:t>
            </w:r>
          </w:p>
        </w:tc>
      </w:tr>
    </w:tbl>
    <w:p w:rsidR="00931774" w:rsidRDefault="00931774">
      <w:pPr>
        <w:pStyle w:val="Chapter"/>
        <w:outlineLvl w:val="1"/>
        <w:rPr>
          <w:bCs w:val="0"/>
        </w:rPr>
      </w:pPr>
      <w:r>
        <w:rPr>
          <w:rFonts w:hint="eastAsia"/>
          <w:bCs w:val="0"/>
        </w:rPr>
        <w:lastRenderedPageBreak/>
        <w:t>五、证券投资情况</w:t>
      </w:r>
    </w:p>
    <w:p w:rsidR="00931774" w:rsidRDefault="0093177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931774" w:rsidRDefault="00931774">
      <w:pPr>
        <w:jc w:val="left"/>
        <w:rPr>
          <w:szCs w:val="24"/>
        </w:rPr>
      </w:pPr>
      <w:r>
        <w:rPr>
          <w:rFonts w:hint="eastAsia"/>
          <w:szCs w:val="24"/>
        </w:rPr>
        <w:t>公司报告期不存在证券投资。</w:t>
      </w:r>
    </w:p>
    <w:p w:rsidR="00931774" w:rsidRDefault="00931774">
      <w:pPr>
        <w:pStyle w:val="Chapter"/>
        <w:outlineLvl w:val="1"/>
        <w:rPr>
          <w:bCs w:val="0"/>
        </w:rPr>
      </w:pPr>
      <w:r>
        <w:rPr>
          <w:rFonts w:hint="eastAsia"/>
          <w:bCs w:val="0"/>
        </w:rPr>
        <w:t>六、持有其他上市公司股权情况的说明</w:t>
      </w:r>
    </w:p>
    <w:p w:rsidR="00931774" w:rsidRDefault="0093177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931774" w:rsidRDefault="00931774">
      <w:pPr>
        <w:jc w:val="left"/>
        <w:rPr>
          <w:szCs w:val="24"/>
        </w:rPr>
      </w:pPr>
      <w:r>
        <w:rPr>
          <w:rFonts w:hint="eastAsia"/>
          <w:szCs w:val="24"/>
        </w:rPr>
        <w:t>公司报告期未持有其他上市公司股权。</w:t>
      </w:r>
    </w:p>
    <w:p w:rsidR="00931774" w:rsidRDefault="00931774">
      <w:pPr>
        <w:jc w:val="left"/>
        <w:rPr>
          <w:szCs w:val="24"/>
        </w:rPr>
        <w:sectPr w:rsidR="00931774">
          <w:pgSz w:w="11906" w:h="16838"/>
          <w:pgMar w:top="1440" w:right="1134" w:bottom="1440" w:left="1134" w:header="851" w:footer="992" w:gutter="0"/>
          <w:cols w:space="425"/>
          <w:docGrid w:type="lines" w:linePitch="312"/>
        </w:sectPr>
      </w:pPr>
    </w:p>
    <w:p w:rsidR="00931774" w:rsidRDefault="00931774">
      <w:pPr>
        <w:pStyle w:val="a3"/>
        <w:outlineLvl w:val="0"/>
        <w:rPr>
          <w:bCs w:val="0"/>
          <w:szCs w:val="24"/>
        </w:rPr>
      </w:pPr>
      <w:bookmarkStart w:id="3" w:name="_Toc300000087"/>
      <w:r>
        <w:rPr>
          <w:rFonts w:hint="eastAsia"/>
          <w:bCs w:val="0"/>
          <w:szCs w:val="24"/>
        </w:rPr>
        <w:lastRenderedPageBreak/>
        <w:t>第四节</w:t>
      </w:r>
      <w:r>
        <w:rPr>
          <w:bCs w:val="0"/>
          <w:szCs w:val="24"/>
        </w:rPr>
        <w:t xml:space="preserve"> </w:t>
      </w:r>
      <w:r>
        <w:rPr>
          <w:rFonts w:hint="eastAsia"/>
          <w:bCs w:val="0"/>
          <w:szCs w:val="24"/>
        </w:rPr>
        <w:t>财务报表</w:t>
      </w:r>
      <w:bookmarkEnd w:id="3"/>
    </w:p>
    <w:p w:rsidR="00931774" w:rsidRDefault="00931774">
      <w:pPr>
        <w:pStyle w:val="Chapter"/>
        <w:outlineLvl w:val="1"/>
        <w:rPr>
          <w:bCs w:val="0"/>
        </w:rPr>
      </w:pPr>
      <w:r>
        <w:rPr>
          <w:rFonts w:hint="eastAsia"/>
          <w:bCs w:val="0"/>
        </w:rPr>
        <w:t>一、财务报表</w:t>
      </w:r>
    </w:p>
    <w:p w:rsidR="00931774" w:rsidRDefault="00931774">
      <w:pPr>
        <w:pStyle w:val="Section"/>
        <w:outlineLvl w:val="2"/>
        <w:rPr>
          <w:bCs w:val="0"/>
          <w:szCs w:val="24"/>
        </w:rPr>
      </w:pPr>
      <w:r>
        <w:rPr>
          <w:bCs w:val="0"/>
          <w:szCs w:val="24"/>
        </w:rPr>
        <w:t>1</w:t>
      </w:r>
      <w:r>
        <w:rPr>
          <w:rFonts w:hint="eastAsia"/>
          <w:bCs w:val="0"/>
          <w:szCs w:val="24"/>
        </w:rPr>
        <w:t>、合并资产负债表</w:t>
      </w:r>
    </w:p>
    <w:p w:rsidR="00931774" w:rsidRDefault="00931774">
      <w:pPr>
        <w:jc w:val="left"/>
        <w:rPr>
          <w:szCs w:val="24"/>
        </w:rPr>
      </w:pPr>
      <w:r>
        <w:rPr>
          <w:rFonts w:hint="eastAsia"/>
          <w:szCs w:val="24"/>
        </w:rPr>
        <w:t>编制单位：威海广泰空港设备股份有限公司</w:t>
      </w:r>
    </w:p>
    <w:p w:rsidR="00931774" w:rsidRDefault="00931774">
      <w:pPr>
        <w:jc w:val="center"/>
        <w:rPr>
          <w:szCs w:val="24"/>
        </w:rPr>
      </w:pPr>
      <w:r>
        <w:rPr>
          <w:szCs w:val="24"/>
        </w:rPr>
        <w:t>2015</w:t>
      </w:r>
      <w:r>
        <w:rPr>
          <w:rFonts w:hint="eastAsia"/>
          <w:szCs w:val="24"/>
        </w:rPr>
        <w:t>年</w:t>
      </w:r>
      <w:r>
        <w:rPr>
          <w:szCs w:val="24"/>
        </w:rPr>
        <w:t>03</w:t>
      </w:r>
      <w:r>
        <w:rPr>
          <w:rFonts w:hint="eastAsia"/>
          <w:szCs w:val="24"/>
        </w:rPr>
        <w:t>月</w:t>
      </w:r>
      <w:r>
        <w:rPr>
          <w:szCs w:val="24"/>
        </w:rPr>
        <w:t>31</w:t>
      </w:r>
      <w:r>
        <w:rPr>
          <w:rFonts w:hint="eastAsia"/>
          <w:szCs w:val="24"/>
        </w:rPr>
        <w:t>日</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期末余额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期初余额</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362,235,395.11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236,723,040.95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以公允价值计量且其变动计入当期损益的金融资产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4,305,000.00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548,772,249.75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528,905,948.04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135,278,686.67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143,753,270.81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6,708.33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4,726,897.22</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41,719,853.82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43,679,354.21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599,739,173.47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604,365,132.38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划分为持有待售的资产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2,783,583.92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132,351,324.30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1,690,535,651.07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1,698,809,967.91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发放贷款及垫款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可供出售金融资产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15,001,434.83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15,001,434.83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持有至到期投资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30,535,616.42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32,017,802.42</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463,196,659.59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468,144,333.16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134,917,032.72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120,757,622.24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工程物资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固定资产清理</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142,816,191.84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144,988,881.30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4,389,177.83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4,389,177.83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1,759,048.29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1,622,125.98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9,773,373.70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9,619,090.45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13,596,772.54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10,421,659.18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815,985,307.76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806,962,127.39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2,506,520,958.83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2,505,772,095.30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619,476,414.60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507,252,475.31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以公允价值计量且其变动计入当期损益的金融负债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67,717,906.63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183,520,565.46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179,593,942.70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173,690,452.57</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233,983,315.88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254,151,733.10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3,891,425.04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7,248,190.93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14,108,460.87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22,072,794.12</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3,680,417.30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3,695,217.49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25,536,263.56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19,135,636.75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划分为持有待售的负债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292,727.00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292,727.00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1,148,280,873.58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1,171,059,792.73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9,793,638.00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10,086,365.00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专项应付款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66,424,504.96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67,697,070.88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2,776,708.97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2,830,156.80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78,994,851.93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80,613,592.68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1,227,275,725.51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1,251,673,385.41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307,270,735.00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307,270,735.00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418,476,659.25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418,476,659.25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71,513,429.68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71,513,429.68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481,984,409.39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456,837,885.96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1,279,245,233.32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1,254,098,709.89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1,279,245,233.32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1,254,098,709.89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2,506,520,958.83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2,505,772,095.30</w:t>
            </w:r>
          </w:p>
        </w:tc>
      </w:tr>
    </w:tbl>
    <w:p w:rsidR="00931774" w:rsidRDefault="00931774">
      <w:pPr>
        <w:spacing w:before="300"/>
        <w:rPr>
          <w:szCs w:val="24"/>
        </w:rPr>
      </w:pPr>
      <w:r>
        <w:rPr>
          <w:rFonts w:hint="eastAsia"/>
          <w:szCs w:val="24"/>
        </w:rPr>
        <w:t>法定代表人：李光太</w:t>
      </w:r>
      <w:r>
        <w:rPr>
          <w:szCs w:val="24"/>
        </w:rPr>
        <w:t xml:space="preserve">                    </w:t>
      </w:r>
      <w:r>
        <w:rPr>
          <w:rFonts w:hint="eastAsia"/>
          <w:szCs w:val="24"/>
        </w:rPr>
        <w:t>主管会计工作负责人：乔志东</w:t>
      </w:r>
      <w:r>
        <w:rPr>
          <w:szCs w:val="24"/>
        </w:rPr>
        <w:t xml:space="preserve">                    </w:t>
      </w:r>
      <w:r>
        <w:rPr>
          <w:rFonts w:hint="eastAsia"/>
          <w:szCs w:val="24"/>
        </w:rPr>
        <w:t>会计机构负责人：乔志东</w:t>
      </w:r>
    </w:p>
    <w:p w:rsidR="00931774" w:rsidRDefault="00931774">
      <w:pPr>
        <w:pStyle w:val="Section"/>
        <w:outlineLvl w:val="2"/>
        <w:rPr>
          <w:bCs w:val="0"/>
          <w:szCs w:val="24"/>
        </w:rPr>
      </w:pPr>
      <w:r>
        <w:rPr>
          <w:bCs w:val="0"/>
          <w:szCs w:val="24"/>
        </w:rPr>
        <w:t>2</w:t>
      </w:r>
      <w:r>
        <w:rPr>
          <w:rFonts w:hint="eastAsia"/>
          <w:bCs w:val="0"/>
          <w:szCs w:val="24"/>
        </w:rPr>
        <w:t>、母公司资产负债表</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期末余额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期初余额</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305,260,428.67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210,100,235.60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以公允价值计量且其变动计入当期损益的金融资产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4,305,000.00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505,571,490.32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479,633,078.89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54,635,382.13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51,721,919.60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6,708.33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4,726,897.22</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182,475,528.91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68,022,898.64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383,046,909.48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374,697,655.79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划分为持有待售的资产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130,000,000.00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1,465,996,447.84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1,323,207,685.74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可供出售金融资产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15,001,434.83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15,001,434.83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持有至到期投资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292,318,956.65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292,318,956.65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346,855,344.88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350,810,792.39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134,862,938.83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120,757,622.24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工程物资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固定资产清理</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84,190,908.06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85,617,877.86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6,231,315.94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5,971,158.81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10,983,959.74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10,421,659.18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890,444,858.93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880,899,501.96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2,356,441,306.77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2,204,107,187.70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609,476,414.60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507,252,475.31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以公允价值计量且其变动计入当期损益的金融负债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58,317,465.63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175,784,502.46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152,791,229.34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158,914,454.73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56,489,820.76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18,625,115.64</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3,750,270.10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5,941,128.71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7,387,615.89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15,742,648.89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3,680,417.30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3,695,217.49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129,194,978.37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31,323,870.98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划分为持有待售的负债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292,727.00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292,727.00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1,021,380,938.99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917,572,141.21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9,793,638.00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10,086,365.00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专项应付款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54,636,679.96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55,851,120.88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64,430,317.96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65,937,485.88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1,085,811,256.95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983,509,627.09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307,270,735.00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307,270,735.00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424,564,087.06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424,564,087.06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71,513,429.68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71,513,429.68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467,281,798.08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417,249,308.87</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1,270,630,049.82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1,220,597,560.61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2,356,441,306.77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2,204,107,187.70</w:t>
            </w:r>
          </w:p>
        </w:tc>
      </w:tr>
    </w:tbl>
    <w:p w:rsidR="00931774" w:rsidRDefault="00931774">
      <w:pPr>
        <w:pStyle w:val="Section"/>
        <w:outlineLvl w:val="2"/>
        <w:rPr>
          <w:bCs w:val="0"/>
          <w:szCs w:val="24"/>
        </w:rPr>
      </w:pPr>
      <w:r>
        <w:rPr>
          <w:bCs w:val="0"/>
          <w:szCs w:val="24"/>
        </w:rPr>
        <w:t>3</w:t>
      </w:r>
      <w:r>
        <w:rPr>
          <w:rFonts w:hint="eastAsia"/>
          <w:bCs w:val="0"/>
          <w:szCs w:val="24"/>
        </w:rPr>
        <w:t>、合并利润表</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3080"/>
        <w:gridCol w:w="3210"/>
        <w:gridCol w:w="3277"/>
      </w:tblGrid>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本期发生额</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上期发生额</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一、营业总收入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248,208,370.69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213,975,571.70</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其中：营业收入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248,208,370.69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213,975,571.70</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已赚保费</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手续费及佣金收入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二、营业总成本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220,798,258.14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190,747,943.06</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其中：营业成本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161,589,971.52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144,083,523.40</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利息支出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手续费及佣金支出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退保金</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赔付支出净额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提取保险合同准备金净额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保单红利支出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分保费用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营业税金及附加</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1,808,093.19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1,452,019.34</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销售费用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17,112,783.30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10,516,567.98</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管理费用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34,964,442.64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26,342,520.99</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财务费用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4,281,016.81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4,786,512.37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资产减值损失</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1,041,950.68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3,566,798.98</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加：公允价值变动收益（损失以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其中：对联营企业和合营企业的投资收益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汇兑收益（损失以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三、营业利润（亏损以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27,410,112.55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23,227,628.64</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加：营业外收入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1,947,994.18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2,625,385.68</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其中：非流动资产处置利得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246,092.80</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减：营业外支出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51,850.00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19,900.00</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其中：非流动资产处置损失</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29,306,256.73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25,833,114.32</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减：所得税费用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4,159,733.30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4,186,633.55</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25,146,523.43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21,646,480.77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归属于母公司所有者的净利润</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25,146,523.43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21,646,480.77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少数股东损益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六、其他综合收益的税后净额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归属母公司所有者的其他综合收益的税后净额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（一）以后不能重分类进损益的其他综合收益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w:t>
            </w:r>
            <w:r>
              <w:rPr>
                <w:szCs w:val="24"/>
              </w:rPr>
              <w:t>1.</w:t>
            </w:r>
            <w:r>
              <w:rPr>
                <w:rFonts w:hint="eastAsia"/>
                <w:szCs w:val="24"/>
              </w:rPr>
              <w:t>重新计量设定受益计划净负债或净资产的变动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2.</w:t>
            </w:r>
            <w:r>
              <w:rPr>
                <w:rFonts w:hint="eastAsia"/>
                <w:szCs w:val="24"/>
              </w:rPr>
              <w:t>权益法下在被投资单位不能重分类进损益的其他综合收益中享有的份额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（二）以后将重分类进损益的其他综合收益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1.</w:t>
            </w:r>
            <w:r>
              <w:rPr>
                <w:rFonts w:hint="eastAsia"/>
                <w:szCs w:val="24"/>
              </w:rPr>
              <w:t>权益法下在被投资单位以后将重分类进损益的其他综合收益中享有的份额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2.</w:t>
            </w:r>
            <w:r>
              <w:rPr>
                <w:rFonts w:hint="eastAsia"/>
                <w:szCs w:val="24"/>
              </w:rPr>
              <w:t>可供出售金融资产公允价值变动损益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3.</w:t>
            </w:r>
            <w:r>
              <w:rPr>
                <w:rFonts w:hint="eastAsia"/>
                <w:szCs w:val="24"/>
              </w:rPr>
              <w:t>持有至到期投资重分类为可供出售金融资产损益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4.</w:t>
            </w:r>
            <w:r>
              <w:rPr>
                <w:rFonts w:hint="eastAsia"/>
                <w:szCs w:val="24"/>
              </w:rPr>
              <w:t>现金流量套期损益的有效部分</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5.</w:t>
            </w:r>
            <w:r>
              <w:rPr>
                <w:rFonts w:hint="eastAsia"/>
                <w:szCs w:val="24"/>
              </w:rPr>
              <w:t>外币财务报表折算差额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6.</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归属于少数股东的其他综合收益的税后净额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七、综合收益总额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25,146,523.43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21,646,480.77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归属于母公司所有者的综合收益总额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25,146,523.43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21,646,480.77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归属于少数股东的综合收益总额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八、每股收益：</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（一）基本每股收益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0.08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0.07</w:t>
            </w:r>
          </w:p>
        </w:tc>
      </w:tr>
      <w:tr w:rsidR="00931774">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（二）稀释每股收益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0.08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0.07</w:t>
            </w:r>
          </w:p>
        </w:tc>
      </w:tr>
    </w:tbl>
    <w:p w:rsidR="00931774" w:rsidRDefault="00931774">
      <w:pPr>
        <w:jc w:val="left"/>
        <w:rPr>
          <w:szCs w:val="24"/>
        </w:rPr>
      </w:pPr>
      <w:r>
        <w:rPr>
          <w:rFonts w:hint="eastAsia"/>
          <w:szCs w:val="24"/>
        </w:rPr>
        <w:t>本期发生同一控制下企业合并的，被合并方在合并前实现的净利润为：元，上期被合并方实现的净利润为：元。</w:t>
      </w:r>
    </w:p>
    <w:p w:rsidR="00931774" w:rsidRDefault="00931774">
      <w:pPr>
        <w:spacing w:before="300"/>
        <w:rPr>
          <w:szCs w:val="24"/>
        </w:rPr>
      </w:pPr>
      <w:r>
        <w:rPr>
          <w:rFonts w:hint="eastAsia"/>
          <w:szCs w:val="24"/>
        </w:rPr>
        <w:t>法定代表人：李光太</w:t>
      </w:r>
      <w:r>
        <w:rPr>
          <w:szCs w:val="24"/>
        </w:rPr>
        <w:t xml:space="preserve">                    </w:t>
      </w:r>
      <w:r>
        <w:rPr>
          <w:rFonts w:hint="eastAsia"/>
          <w:szCs w:val="24"/>
        </w:rPr>
        <w:t>主管会计工作负责人：乔志东</w:t>
      </w:r>
      <w:r>
        <w:rPr>
          <w:szCs w:val="24"/>
        </w:rPr>
        <w:t xml:space="preserve">                    </w:t>
      </w:r>
      <w:r>
        <w:rPr>
          <w:rFonts w:hint="eastAsia"/>
          <w:szCs w:val="24"/>
        </w:rPr>
        <w:t>会计机构负责人：乔志东</w:t>
      </w:r>
    </w:p>
    <w:p w:rsidR="00931774" w:rsidRDefault="00931774">
      <w:pPr>
        <w:pStyle w:val="Section"/>
        <w:outlineLvl w:val="2"/>
        <w:rPr>
          <w:bCs w:val="0"/>
          <w:szCs w:val="24"/>
        </w:rPr>
      </w:pPr>
      <w:r>
        <w:rPr>
          <w:bCs w:val="0"/>
          <w:szCs w:val="24"/>
        </w:rPr>
        <w:t>4</w:t>
      </w:r>
      <w:r>
        <w:rPr>
          <w:rFonts w:hint="eastAsia"/>
          <w:bCs w:val="0"/>
          <w:szCs w:val="24"/>
        </w:rPr>
        <w:t>、母公司利润表</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本期发生额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上期发生额</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一、营业收入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149,945,546.87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138,597,156.67</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减：营业成本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98,313,717.26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94,233,990.00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营业税金及附加</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1,244,426.58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1,064,213.01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销售费用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8,025,495.73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5,909,486.73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管理费用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20,531,575.95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15,850,574.88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财务费用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4,277,908.24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4,214,128.09</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资产减值损失</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1,734,380.87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2,559,528.53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加：公允价值变动收益（损失以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45,000,000.00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其中：对联营企业和合营企业的投资收益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50,818,042.24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59,765,235.43</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加：营业外收入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1,867,239.18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2,566,814.98</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其中：非流动资产处置利得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246,092.80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减：营业外支出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19,100.00</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其中：非流动资产处置损失</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52,685,281.42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62,312,950.41</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减：所得税费用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2,652,792.21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2,596,942.56</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50,032,489.21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59,716,007.85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五、其他综合收益的税后净额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（一）以后不能重分类进损益的其他综合收益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1.</w:t>
            </w:r>
            <w:r>
              <w:rPr>
                <w:rFonts w:hint="eastAsia"/>
                <w:szCs w:val="24"/>
              </w:rPr>
              <w:t>重新计量设定受益计划净负债或净资产的变动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2.</w:t>
            </w:r>
            <w:r>
              <w:rPr>
                <w:rFonts w:hint="eastAsia"/>
                <w:szCs w:val="24"/>
              </w:rPr>
              <w:t>权益法下在被投资单位不能重分类进损益的其他综合收益中享有的份额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（二）以后将重分类进损益的其他综合收益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1.</w:t>
            </w:r>
            <w:r>
              <w:rPr>
                <w:rFonts w:hint="eastAsia"/>
                <w:szCs w:val="24"/>
              </w:rPr>
              <w:t>权益法下在被投资单位以后将重分类进损益的其他综合收益中享有的份额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2.</w:t>
            </w:r>
            <w:r>
              <w:rPr>
                <w:rFonts w:hint="eastAsia"/>
                <w:szCs w:val="24"/>
              </w:rPr>
              <w:t>可供出售金融资产公允价值变动损益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3.</w:t>
            </w:r>
            <w:r>
              <w:rPr>
                <w:rFonts w:hint="eastAsia"/>
                <w:szCs w:val="24"/>
              </w:rPr>
              <w:t>持有至到期投资重分类为可供出售金融资产损益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4.</w:t>
            </w:r>
            <w:r>
              <w:rPr>
                <w:rFonts w:hint="eastAsia"/>
                <w:szCs w:val="24"/>
              </w:rPr>
              <w:t>现金流量套期损益的有</w:t>
            </w:r>
            <w:r>
              <w:rPr>
                <w:rFonts w:hint="eastAsia"/>
                <w:szCs w:val="24"/>
              </w:rPr>
              <w:lastRenderedPageBreak/>
              <w:t>效部分</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w:t>
            </w:r>
            <w:r>
              <w:rPr>
                <w:szCs w:val="24"/>
              </w:rPr>
              <w:t>5.</w:t>
            </w:r>
            <w:r>
              <w:rPr>
                <w:rFonts w:hint="eastAsia"/>
                <w:szCs w:val="24"/>
              </w:rPr>
              <w:t>外币财务报表折算差额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w:t>
            </w:r>
            <w:r>
              <w:rPr>
                <w:szCs w:val="24"/>
              </w:rPr>
              <w:t>6.</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六、综合收益总额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50,032,489.21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59,716,007.85</w:t>
            </w: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七、每股收益：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（一）基本每股收益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（二）稀释每股收益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bl>
    <w:p w:rsidR="00931774" w:rsidRDefault="00931774">
      <w:pPr>
        <w:pStyle w:val="Section"/>
        <w:outlineLvl w:val="2"/>
        <w:rPr>
          <w:bCs w:val="0"/>
          <w:szCs w:val="24"/>
        </w:rPr>
      </w:pPr>
      <w:r>
        <w:rPr>
          <w:bCs w:val="0"/>
          <w:szCs w:val="24"/>
        </w:rPr>
        <w:t>5</w:t>
      </w:r>
      <w:r>
        <w:rPr>
          <w:rFonts w:hint="eastAsia"/>
          <w:bCs w:val="0"/>
          <w:szCs w:val="24"/>
        </w:rPr>
        <w:t>、合并现金流量表</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22"/>
        <w:gridCol w:w="3253"/>
        <w:gridCol w:w="3392"/>
      </w:tblGrid>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本期发生额</w:t>
            </w: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上期金额发生额</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一、经营活动产生的现金流量：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销售商品、提供劳务收到的现金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283,616,828.01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215,456,892.85</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客户存款和同业存放款项净增加额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向中央银行借款净增加额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向其他金融机构拆入资金净增加额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收到原保险合同保费取得的现金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收到再保险业务现金净额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保户储金及投资款净增加额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处置以公允价值计量且其变动计入当期损益的金融资产净增加额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收取利息、手续费及佣金的现金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拆入资金净增加额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回购业务资金净增加额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收到的税费返还</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1,353,902.75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收到其他与经营活动有关的现金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1,932,371.92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8,899,795.93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286,903,102.68</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224,356,688.78</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购买商品、接受劳务支付的现金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191,643,065.72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176,965,138.16</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客户贷款及垫款净增加额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存放中央银行和同业款项净增加额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支付原保险合同赔付款项的现金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支付利息、手续费及佣金的现金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支付保单红利的现金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支付给职工以及为职工支付的现金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39,427,413.50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30,696,743.48</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支付的各项税费</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29,392,994.23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14,869,415.83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支付其他与经营活动有关的现金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6,718,626.80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37,221,939.53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267,182,100.25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259,753,237.00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19,721,002.43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-35,396,548.22</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二、投资活动产生的现金流量：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收回投资收到的现金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取得投资收益收到的现金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7,938,186.00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处置固定资产、无形资产和其他长期资产收回的现金净额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183,771.90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处置子公司及其他营业单位收到的现金净额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收到其他与投资活动有关的现金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130,000,000.00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137,938,186.00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183,771.90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购建固定资产、无形资产和其他长期资产支付的现金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23,147,950.24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13,017,464.97</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质押贷款净增加额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取得子公司及其他营业单位支付的现金净额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支付其他与投资活动有关的现金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2,400,000.00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23,147,950.24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15,417,464.97</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114,790,235.76</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-15,233,693.07</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三、筹资活动产生的现金流量：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吸收投资收到的现金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其中：子公司吸收少数股东投资收到的现金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取得借款收到的现金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223,694,348.43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473,484,628.49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发行债券收到的现金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收到其他与筹资活动有关的现金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223,694,348.43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473,484,628.49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偿还债务支付的现金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221,196,788.20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311,600,236.23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分配股利、利润或偿付利息支付的现金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6,459,237.82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15,113,840.86</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其中：子公司支付给少数股东的股利、利润</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支付其他与筹资活动有关的现金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227,656,026.02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326,714,077.09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-3,961,677.59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146,770,551.40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四、汇率变动对现金及现金等价物的影响</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301,907.49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-441,012.43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五、现金及现金等价物净增加额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130,851,468.09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95,699,297.68</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加：期初现金及现金等价物余额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236,723,040.95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192,479,673.44</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六、期末现金及现金等价物余额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367,574,509.04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288,178,971.12</w:t>
            </w:r>
          </w:p>
        </w:tc>
      </w:tr>
    </w:tbl>
    <w:p w:rsidR="00931774" w:rsidRDefault="00931774">
      <w:pPr>
        <w:pStyle w:val="Section"/>
        <w:outlineLvl w:val="2"/>
        <w:rPr>
          <w:bCs w:val="0"/>
          <w:szCs w:val="24"/>
        </w:rPr>
      </w:pPr>
      <w:r>
        <w:rPr>
          <w:bCs w:val="0"/>
          <w:szCs w:val="24"/>
        </w:rPr>
        <w:t>6</w:t>
      </w:r>
      <w:r>
        <w:rPr>
          <w:rFonts w:hint="eastAsia"/>
          <w:bCs w:val="0"/>
          <w:szCs w:val="24"/>
        </w:rPr>
        <w:t>、母公司现金流量表</w:t>
      </w:r>
    </w:p>
    <w:p w:rsidR="00931774" w:rsidRDefault="0093177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22"/>
        <w:gridCol w:w="3253"/>
        <w:gridCol w:w="3392"/>
      </w:tblGrid>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项目</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本期发生额</w:t>
            </w: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center"/>
              <w:rPr>
                <w:szCs w:val="24"/>
              </w:rPr>
            </w:pPr>
            <w:r>
              <w:rPr>
                <w:rFonts w:hint="eastAsia"/>
                <w:szCs w:val="24"/>
              </w:rPr>
              <w:t>上期发生额</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一、经营活动产生的现金流量：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销售商品、提供劳务收到的现金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178,563,955.35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123,907,977.11</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收到的税费返还</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1,353,902.75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收到其他与经营活动有关的现金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1,270,417.47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2,435,460.90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181,188,275.57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126,343,438.01</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购买商品、接受劳务支付的现金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117,229,398.08</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124,735,542.65</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支付给职工以及为职工支付的现金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25,148,232.93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18,931,098.71</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支付的各项税费</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21,794,112.94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5,487,363.65</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支付其他与经营活动有关的现金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19,241,724.62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31,398,162.31</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183,413,468.57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180,552,167.32</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经营活动产生的现金流量净额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-2,225,193.00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-54,208,729.31</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二、投资活动产生的现金流量：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收回投资收到的现金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取得投资收益收到的现金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6,456,000.00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11,000,000.00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处置固定资产、无形资产和其他长期资产收回的现金净额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183,771.90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处置子公司及其他营业单位收到的现金净额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收到其他与投资活动有关的现金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130,000,000.00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136,456,000.00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11,183,771.90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购建固定资产、无形资产和其他长期资产支付的现金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20,105,078.91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8,371,969.76</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投资支付的现金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取得子公司及其他营业单位支付的现金净额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支付其他与投资活动有关的现金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2,400,000.00</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20,105,078.91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10,771,969.76</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投资活动产生的现金流量净额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116,350,921.09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411,802.14</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三、筹资活动产生的现金流量：</w:t>
            </w:r>
          </w:p>
        </w:tc>
        <w:tc>
          <w:tcPr>
            <w:tcW w:w="3253"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吸收投资收到的现金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取得借款收到的现金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213,694,348.43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473,484,628.49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发行债券收到的现金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收到其他与筹资活动有关的现金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筹资活动现金流入小计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213,694,348.43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473,484,628.49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偿还债务支付的现金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221,196,788.20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311,600,236.23</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分配股利、利润或偿付利息支付的现金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6,445,862.82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15,077,862.29</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 xml:space="preserve">　　支付其他与筹资活动有关的现金</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筹资活动现金流出小计</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227,642,651.02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326,678,098.52</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筹资活动产生的现金流量净额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-13,948,302.59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146,806,529.97</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四、汇率变动对现金及现金等价物的影响</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321,883.50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-421,104.86</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五、现金及现金等价物净增加额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100,499,309.00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92,588,497.94</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lastRenderedPageBreak/>
              <w:t xml:space="preserve">　　加：期初现金及现金等价物余额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210,100,235.60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184,054,378.84</w:t>
            </w:r>
          </w:p>
        </w:tc>
      </w:tr>
      <w:tr w:rsidR="00931774">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31774" w:rsidRDefault="00931774">
            <w:pPr>
              <w:jc w:val="left"/>
              <w:rPr>
                <w:szCs w:val="24"/>
              </w:rPr>
            </w:pPr>
            <w:r>
              <w:rPr>
                <w:rFonts w:hint="eastAsia"/>
                <w:szCs w:val="24"/>
              </w:rPr>
              <w:t>六、期末现金及现金等价物余额</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310,599,544.60</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931774" w:rsidRDefault="00931774">
            <w:pPr>
              <w:jc w:val="right"/>
              <w:rPr>
                <w:szCs w:val="24"/>
              </w:rPr>
            </w:pPr>
            <w:r>
              <w:rPr>
                <w:szCs w:val="24"/>
              </w:rPr>
              <w:t>276,642,876.78</w:t>
            </w:r>
          </w:p>
        </w:tc>
      </w:tr>
    </w:tbl>
    <w:p w:rsidR="00931774" w:rsidRDefault="00931774">
      <w:pPr>
        <w:pStyle w:val="Chapter"/>
        <w:outlineLvl w:val="1"/>
        <w:rPr>
          <w:bCs w:val="0"/>
        </w:rPr>
      </w:pPr>
      <w:r>
        <w:rPr>
          <w:rFonts w:hint="eastAsia"/>
          <w:bCs w:val="0"/>
        </w:rPr>
        <w:t>二、审计报告</w:t>
      </w:r>
    </w:p>
    <w:p w:rsidR="00931774" w:rsidRDefault="00931774">
      <w:pPr>
        <w:jc w:val="left"/>
        <w:rPr>
          <w:szCs w:val="24"/>
        </w:rPr>
      </w:pPr>
      <w:r>
        <w:rPr>
          <w:rFonts w:hint="eastAsia"/>
          <w:szCs w:val="24"/>
        </w:rPr>
        <w:t>第一季度报告是否经过审计</w:t>
      </w:r>
    </w:p>
    <w:p w:rsidR="00931774" w:rsidRDefault="00931774">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931774" w:rsidRDefault="00931774">
      <w:pPr>
        <w:jc w:val="left"/>
        <w:rPr>
          <w:szCs w:val="24"/>
        </w:rPr>
      </w:pPr>
      <w:r>
        <w:rPr>
          <w:rFonts w:hint="eastAsia"/>
          <w:szCs w:val="24"/>
        </w:rPr>
        <w:t>公司第一季度报告未经审计。</w:t>
      </w:r>
    </w:p>
    <w:p w:rsidR="00F3005F" w:rsidRDefault="00F3005F">
      <w:pPr>
        <w:jc w:val="left"/>
        <w:rPr>
          <w:szCs w:val="24"/>
        </w:rPr>
      </w:pPr>
    </w:p>
    <w:p w:rsidR="00F3005F" w:rsidRDefault="00F3005F">
      <w:pPr>
        <w:jc w:val="left"/>
        <w:rPr>
          <w:szCs w:val="24"/>
        </w:rPr>
      </w:pPr>
    </w:p>
    <w:p w:rsidR="00F3005F" w:rsidRDefault="00F3005F">
      <w:pPr>
        <w:jc w:val="left"/>
        <w:rPr>
          <w:szCs w:val="24"/>
        </w:rPr>
      </w:pPr>
    </w:p>
    <w:p w:rsidR="00F3005F" w:rsidRPr="004800C6" w:rsidRDefault="004800C6" w:rsidP="004800C6">
      <w:pPr>
        <w:wordWrap w:val="0"/>
        <w:jc w:val="right"/>
        <w:rPr>
          <w:szCs w:val="24"/>
        </w:rPr>
      </w:pPr>
      <w:r>
        <w:rPr>
          <w:rFonts w:hint="eastAsia"/>
          <w:szCs w:val="24"/>
        </w:rPr>
        <w:t>法定代表人：</w:t>
      </w:r>
      <w:r>
        <w:rPr>
          <w:rFonts w:hint="eastAsia"/>
          <w:szCs w:val="24"/>
        </w:rPr>
        <w:t xml:space="preserve">                </w:t>
      </w:r>
      <w:bookmarkStart w:id="4" w:name="_GoBack"/>
      <w:bookmarkEnd w:id="4"/>
    </w:p>
    <w:p w:rsidR="00F3005F" w:rsidRDefault="00F3005F" w:rsidP="00F3005F">
      <w:pPr>
        <w:jc w:val="right"/>
        <w:rPr>
          <w:szCs w:val="24"/>
        </w:rPr>
      </w:pPr>
      <w:proofErr w:type="gramStart"/>
      <w:r>
        <w:rPr>
          <w:rFonts w:hint="eastAsia"/>
          <w:szCs w:val="24"/>
        </w:rPr>
        <w:t>威海广</w:t>
      </w:r>
      <w:proofErr w:type="gramEnd"/>
      <w:r>
        <w:rPr>
          <w:rFonts w:hint="eastAsia"/>
          <w:szCs w:val="24"/>
        </w:rPr>
        <w:t>泰空港设备股份有限公司</w:t>
      </w:r>
    </w:p>
    <w:p w:rsidR="00F3005F" w:rsidRPr="00F3005F" w:rsidRDefault="00F3005F" w:rsidP="00F3005F">
      <w:pPr>
        <w:jc w:val="right"/>
        <w:rPr>
          <w:szCs w:val="24"/>
        </w:rPr>
      </w:pPr>
      <w:r>
        <w:rPr>
          <w:szCs w:val="24"/>
        </w:rPr>
        <w:t>2015</w:t>
      </w:r>
      <w:r>
        <w:rPr>
          <w:rFonts w:hint="eastAsia"/>
          <w:szCs w:val="24"/>
        </w:rPr>
        <w:t>年</w:t>
      </w:r>
      <w:r>
        <w:rPr>
          <w:szCs w:val="24"/>
        </w:rPr>
        <w:t>4</w:t>
      </w:r>
      <w:r>
        <w:rPr>
          <w:rFonts w:hint="eastAsia"/>
          <w:szCs w:val="24"/>
        </w:rPr>
        <w:t>月</w:t>
      </w:r>
      <w:r>
        <w:rPr>
          <w:szCs w:val="24"/>
        </w:rPr>
        <w:t>29</w:t>
      </w:r>
      <w:r>
        <w:rPr>
          <w:rFonts w:hint="eastAsia"/>
          <w:szCs w:val="24"/>
        </w:rPr>
        <w:t>日</w:t>
      </w:r>
    </w:p>
    <w:sectPr w:rsidR="00F3005F" w:rsidRPr="00F3005F">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8C" w:rsidRDefault="00E1798C">
      <w:pPr>
        <w:spacing w:before="0" w:after="0"/>
      </w:pPr>
      <w:r>
        <w:separator/>
      </w:r>
    </w:p>
  </w:endnote>
  <w:endnote w:type="continuationSeparator" w:id="0">
    <w:p w:rsidR="00E1798C" w:rsidRDefault="00E179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74" w:rsidRDefault="00931774">
    <w:pPr>
      <w:pStyle w:val="a5"/>
    </w:pPr>
    <w:r>
      <w:fldChar w:fldCharType="begin"/>
    </w:r>
    <w:r>
      <w:instrText xml:space="preserve"> PAGE </w:instrText>
    </w:r>
    <w:r>
      <w:fldChar w:fldCharType="separate"/>
    </w:r>
    <w:r w:rsidR="004800C6">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8C" w:rsidRDefault="00E1798C">
      <w:pPr>
        <w:spacing w:before="0" w:after="0"/>
      </w:pPr>
      <w:r>
        <w:separator/>
      </w:r>
    </w:p>
  </w:footnote>
  <w:footnote w:type="continuationSeparator" w:id="0">
    <w:p w:rsidR="00E1798C" w:rsidRDefault="00E1798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74" w:rsidRDefault="00931774">
    <w:pPr>
      <w:pStyle w:val="a4"/>
    </w:pPr>
    <w:proofErr w:type="gramStart"/>
    <w:r>
      <w:rPr>
        <w:rFonts w:hint="eastAsia"/>
      </w:rPr>
      <w:t>威海广</w:t>
    </w:r>
    <w:proofErr w:type="gramEnd"/>
    <w:r>
      <w:rPr>
        <w:rFonts w:hint="eastAsia"/>
      </w:rPr>
      <w:t>泰空港设备股份有限公司</w:t>
    </w:r>
    <w:r>
      <w:t>2015</w:t>
    </w:r>
    <w:r>
      <w:rPr>
        <w:rFonts w:hint="eastAsia"/>
      </w:rPr>
      <w:t>年第一季度报告全文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5F"/>
    <w:rsid w:val="00093BF0"/>
    <w:rsid w:val="0042544D"/>
    <w:rsid w:val="004800C6"/>
    <w:rsid w:val="005B20D0"/>
    <w:rsid w:val="00851992"/>
    <w:rsid w:val="00931774"/>
    <w:rsid w:val="00D27B16"/>
    <w:rsid w:val="00E1798C"/>
    <w:rsid w:val="00F3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locked/>
    <w:rPr>
      <w:rFonts w:ascii="Times New Roman" w:eastAsia="宋体" w:hAnsi="Times New Roman" w:cs="Times New Roman"/>
      <w:sz w:val="18"/>
      <w:szCs w:val="18"/>
    </w:rPr>
  </w:style>
  <w:style w:type="paragraph" w:styleId="a6">
    <w:name w:val="Balloon Text"/>
    <w:basedOn w:val="a"/>
    <w:link w:val="Char2"/>
    <w:uiPriority w:val="99"/>
    <w:semiHidden/>
    <w:unhideWhenUsed/>
    <w:rsid w:val="0042544D"/>
    <w:pPr>
      <w:spacing w:before="0" w:after="0"/>
    </w:pPr>
  </w:style>
  <w:style w:type="character" w:customStyle="1" w:styleId="Char2">
    <w:name w:val="批注框文本 Char"/>
    <w:basedOn w:val="a0"/>
    <w:link w:val="a6"/>
    <w:uiPriority w:val="99"/>
    <w:semiHidden/>
    <w:rsid w:val="0042544D"/>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locked/>
    <w:rPr>
      <w:rFonts w:ascii="Times New Roman" w:eastAsia="宋体" w:hAnsi="Times New Roman" w:cs="Times New Roman"/>
      <w:sz w:val="18"/>
      <w:szCs w:val="18"/>
    </w:rPr>
  </w:style>
  <w:style w:type="paragraph" w:styleId="a6">
    <w:name w:val="Balloon Text"/>
    <w:basedOn w:val="a"/>
    <w:link w:val="Char2"/>
    <w:uiPriority w:val="99"/>
    <w:semiHidden/>
    <w:unhideWhenUsed/>
    <w:rsid w:val="0042544D"/>
    <w:pPr>
      <w:spacing w:before="0" w:after="0"/>
    </w:pPr>
  </w:style>
  <w:style w:type="character" w:customStyle="1" w:styleId="Char2">
    <w:name w:val="批注框文本 Char"/>
    <w:basedOn w:val="a0"/>
    <w:link w:val="a6"/>
    <w:uiPriority w:val="99"/>
    <w:semiHidden/>
    <w:rsid w:val="0042544D"/>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ninfo.com.cn/" TargetMode="External"/><Relationship Id="rId5" Type="http://schemas.openxmlformats.org/officeDocument/2006/relationships/footnotes" Target="footnotes.xml"/><Relationship Id="rId10" Type="http://schemas.openxmlformats.org/officeDocument/2006/relationships/hyperlink" Target="http://www.cninfo.com.c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2612</Words>
  <Characters>14892</Characters>
  <Application>Microsoft Office Word</Application>
  <DocSecurity>0</DocSecurity>
  <Lines>124</Lines>
  <Paragraphs>34</Paragraphs>
  <ScaleCrop>false</ScaleCrop>
  <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威海广泰空港设备股份有限公司2015年第一季度报告全文</dc:title>
  <dc:subject/>
  <dc:creator>威海广泰空港设备股份有限公司</dc:creator>
  <cp:keywords/>
  <dc:description/>
  <cp:lastModifiedBy>鞠衍巍</cp:lastModifiedBy>
  <cp:revision>4</cp:revision>
  <cp:lastPrinted>2015-04-27T15:48:00Z</cp:lastPrinted>
  <dcterms:created xsi:type="dcterms:W3CDTF">2015-04-27T12:53:00Z</dcterms:created>
  <dcterms:modified xsi:type="dcterms:W3CDTF">2015-04-27T15:48:00Z</dcterms:modified>
</cp:coreProperties>
</file>